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9D0D5" w14:textId="77777777" w:rsidR="00DC4CC3" w:rsidRDefault="00DC4CC3" w:rsidP="000C4BBA">
      <w:pPr>
        <w:spacing w:after="0" w:line="240" w:lineRule="auto"/>
        <w:jc w:val="center"/>
        <w:rPr>
          <w:b/>
          <w:u w:val="single"/>
        </w:rPr>
      </w:pPr>
      <w:bookmarkStart w:id="0" w:name="_GoBack"/>
      <w:bookmarkEnd w:id="0"/>
    </w:p>
    <w:p w14:paraId="52DB6C42" w14:textId="2FC842F7" w:rsidR="00DC4CC3" w:rsidRPr="00C756C3" w:rsidRDefault="00DC4CC3" w:rsidP="000C4BBA">
      <w:pPr>
        <w:spacing w:after="0" w:line="240" w:lineRule="auto"/>
        <w:jc w:val="center"/>
        <w:rPr>
          <w:b/>
          <w:sz w:val="28"/>
          <w:szCs w:val="28"/>
          <w:u w:val="single"/>
        </w:rPr>
      </w:pPr>
      <w:r w:rsidRPr="00C756C3">
        <w:rPr>
          <w:b/>
          <w:sz w:val="28"/>
          <w:szCs w:val="28"/>
          <w:u w:val="single"/>
        </w:rPr>
        <w:t xml:space="preserve">Y </w:t>
      </w:r>
      <w:proofErr w:type="spellStart"/>
      <w:r w:rsidRPr="00C756C3">
        <w:rPr>
          <w:b/>
          <w:sz w:val="28"/>
          <w:szCs w:val="28"/>
          <w:u w:val="single"/>
        </w:rPr>
        <w:t>Bartneria</w:t>
      </w:r>
      <w:r w:rsidR="00C756C3" w:rsidRPr="00C756C3">
        <w:rPr>
          <w:b/>
          <w:sz w:val="28"/>
          <w:szCs w:val="28"/>
          <w:u w:val="single"/>
        </w:rPr>
        <w:t>e</w:t>
      </w:r>
      <w:r w:rsidR="0050055B">
        <w:rPr>
          <w:b/>
          <w:sz w:val="28"/>
          <w:szCs w:val="28"/>
          <w:u w:val="single"/>
        </w:rPr>
        <w:t>ith</w:t>
      </w:r>
      <w:proofErr w:type="spellEnd"/>
      <w:r w:rsidR="0050055B">
        <w:rPr>
          <w:b/>
          <w:sz w:val="28"/>
          <w:szCs w:val="28"/>
          <w:u w:val="single"/>
        </w:rPr>
        <w:t xml:space="preserve"> </w:t>
      </w:r>
      <w:proofErr w:type="spellStart"/>
      <w:r w:rsidR="0050055B">
        <w:rPr>
          <w:b/>
          <w:sz w:val="28"/>
          <w:szCs w:val="28"/>
          <w:u w:val="single"/>
        </w:rPr>
        <w:t>Awyr</w:t>
      </w:r>
      <w:proofErr w:type="spellEnd"/>
      <w:r w:rsidR="0050055B">
        <w:rPr>
          <w:b/>
          <w:sz w:val="28"/>
          <w:szCs w:val="28"/>
          <w:u w:val="single"/>
        </w:rPr>
        <w:t xml:space="preserve"> </w:t>
      </w:r>
      <w:proofErr w:type="spellStart"/>
      <w:r w:rsidR="0050055B">
        <w:rPr>
          <w:b/>
          <w:sz w:val="28"/>
          <w:szCs w:val="28"/>
          <w:u w:val="single"/>
        </w:rPr>
        <w:t>Agored</w:t>
      </w:r>
      <w:proofErr w:type="spellEnd"/>
      <w:r w:rsidR="0050055B">
        <w:rPr>
          <w:b/>
          <w:sz w:val="28"/>
          <w:szCs w:val="28"/>
          <w:u w:val="single"/>
        </w:rPr>
        <w:t>/ T</w:t>
      </w:r>
      <w:r w:rsidRPr="00C756C3">
        <w:rPr>
          <w:b/>
          <w:sz w:val="28"/>
          <w:szCs w:val="28"/>
          <w:u w:val="single"/>
        </w:rPr>
        <w:t>he Outdoor Partnership</w:t>
      </w:r>
    </w:p>
    <w:p w14:paraId="50C2ED11" w14:textId="3975523E" w:rsidR="00DC4CC3" w:rsidRDefault="00DC4CC3" w:rsidP="000C4BBA">
      <w:pPr>
        <w:spacing w:after="0" w:line="240" w:lineRule="auto"/>
        <w:jc w:val="center"/>
        <w:rPr>
          <w:b/>
          <w:sz w:val="28"/>
          <w:szCs w:val="28"/>
          <w:u w:val="single"/>
        </w:rPr>
      </w:pPr>
      <w:r w:rsidRPr="00C756C3">
        <w:rPr>
          <w:b/>
          <w:sz w:val="28"/>
          <w:szCs w:val="28"/>
          <w:u w:val="single"/>
        </w:rPr>
        <w:t>In conjunction with RPT Consulting</w:t>
      </w:r>
    </w:p>
    <w:p w14:paraId="64E0F4F4" w14:textId="77777777" w:rsidR="00C756C3" w:rsidRPr="00C756C3" w:rsidRDefault="00C756C3" w:rsidP="000C4BBA">
      <w:pPr>
        <w:spacing w:after="0" w:line="240" w:lineRule="auto"/>
        <w:jc w:val="center"/>
        <w:rPr>
          <w:b/>
          <w:sz w:val="28"/>
          <w:szCs w:val="28"/>
          <w:u w:val="single"/>
        </w:rPr>
      </w:pPr>
    </w:p>
    <w:p w14:paraId="4905FCB3" w14:textId="6FCAC3B5" w:rsidR="000C4BBA" w:rsidRPr="00DC4CC3" w:rsidRDefault="000C4BBA" w:rsidP="000C4BBA">
      <w:pPr>
        <w:spacing w:after="0" w:line="240" w:lineRule="auto"/>
        <w:jc w:val="center"/>
        <w:rPr>
          <w:b/>
        </w:rPr>
      </w:pPr>
      <w:r w:rsidRPr="00DC4CC3">
        <w:rPr>
          <w:b/>
        </w:rPr>
        <w:t>Background and Introduction to “Opening Doors to the Outdoors” Project</w:t>
      </w:r>
    </w:p>
    <w:p w14:paraId="1F668F46" w14:textId="7F305AA2" w:rsidR="00DC4CC3" w:rsidRPr="00DC4CC3" w:rsidRDefault="00DC4CC3" w:rsidP="000C4BBA">
      <w:pPr>
        <w:spacing w:after="0" w:line="240" w:lineRule="auto"/>
        <w:jc w:val="center"/>
        <w:rPr>
          <w:b/>
        </w:rPr>
      </w:pPr>
      <w:r w:rsidRPr="00DC4CC3">
        <w:rPr>
          <w:b/>
        </w:rPr>
        <w:t>Funded by The National Lottery Community Fund (UK Portfolio)</w:t>
      </w:r>
    </w:p>
    <w:p w14:paraId="0F3A86B8" w14:textId="77777777" w:rsidR="000C4BBA" w:rsidRDefault="000C4BBA" w:rsidP="000C4BBA">
      <w:pPr>
        <w:spacing w:after="0" w:line="240" w:lineRule="auto"/>
        <w:jc w:val="center"/>
        <w:rPr>
          <w:b/>
          <w:u w:val="single"/>
        </w:rPr>
      </w:pPr>
    </w:p>
    <w:p w14:paraId="47C181A5" w14:textId="40D86776" w:rsidR="003104A8" w:rsidRPr="000C4BBA" w:rsidRDefault="000C4BBA" w:rsidP="00C52DDE">
      <w:pPr>
        <w:spacing w:after="0" w:line="240" w:lineRule="auto"/>
        <w:rPr>
          <w:b/>
          <w:u w:val="single"/>
        </w:rPr>
      </w:pPr>
      <w:r w:rsidRPr="000C4BBA">
        <w:rPr>
          <w:b/>
          <w:u w:val="single"/>
        </w:rPr>
        <w:t>Introduction</w:t>
      </w:r>
    </w:p>
    <w:p w14:paraId="3477FE2F" w14:textId="55609C13" w:rsidR="00EF1252" w:rsidRPr="004140E8" w:rsidRDefault="000C4BBA" w:rsidP="00C52DDE">
      <w:pPr>
        <w:spacing w:after="0" w:line="240" w:lineRule="auto"/>
      </w:pPr>
      <w:r w:rsidRPr="004140E8">
        <w:t xml:space="preserve">The Outdoor Partnership (TOP) was formed in 2004 to </w:t>
      </w:r>
      <w:r w:rsidR="00C80E47" w:rsidRPr="004140E8">
        <w:t xml:space="preserve">address </w:t>
      </w:r>
      <w:r w:rsidRPr="004140E8">
        <w:t xml:space="preserve">a disconnect in the </w:t>
      </w:r>
      <w:r w:rsidR="00C80E47" w:rsidRPr="004140E8">
        <w:t xml:space="preserve">North West Wales </w:t>
      </w:r>
      <w:r w:rsidRPr="004140E8">
        <w:t>outdoor sector whereby</w:t>
      </w:r>
      <w:r w:rsidR="0050055B" w:rsidRPr="004140E8">
        <w:t xml:space="preserve"> </w:t>
      </w:r>
      <w:r w:rsidR="00AB2F6E" w:rsidRPr="004140E8">
        <w:t>there were</w:t>
      </w:r>
      <w:r w:rsidR="0050055B" w:rsidRPr="004140E8">
        <w:t xml:space="preserve"> limited opportunities for local people to take part in outdoor activities in their communities and as a result</w:t>
      </w:r>
      <w:r w:rsidRPr="004140E8">
        <w:t xml:space="preserve"> residents </w:t>
      </w:r>
      <w:r w:rsidR="00A81E09" w:rsidRPr="004140E8">
        <w:t xml:space="preserve">saw little value in </w:t>
      </w:r>
      <w:r w:rsidR="00C80E47" w:rsidRPr="004140E8">
        <w:t xml:space="preserve">either </w:t>
      </w:r>
      <w:r w:rsidR="0050055B" w:rsidRPr="004140E8">
        <w:t>the health, wellbeing</w:t>
      </w:r>
      <w:r w:rsidR="00A81E09" w:rsidRPr="004140E8">
        <w:t xml:space="preserve"> and employment opportunities</w:t>
      </w:r>
      <w:r w:rsidR="00EF1252" w:rsidRPr="004140E8">
        <w:t>.</w:t>
      </w:r>
      <w:r w:rsidR="00A81E09" w:rsidRPr="004140E8">
        <w:t xml:space="preserve"> </w:t>
      </w:r>
      <w:r w:rsidR="00EF1252" w:rsidRPr="004140E8">
        <w:t xml:space="preserve">Initially </w:t>
      </w:r>
      <w:r w:rsidR="00A81E09" w:rsidRPr="004140E8">
        <w:t xml:space="preserve">TOP comprised a mixture of national centres, local authorities, education and local interest organisations, who agreed to work collaboratively to raise the profile of the outdoor sector by providing a continuum from primary education to employment.  </w:t>
      </w:r>
    </w:p>
    <w:p w14:paraId="2DE1BCFF" w14:textId="77777777" w:rsidR="00EF1252" w:rsidRPr="004140E8" w:rsidRDefault="00EF1252" w:rsidP="00C52DDE">
      <w:pPr>
        <w:spacing w:after="0" w:line="240" w:lineRule="auto"/>
      </w:pPr>
    </w:p>
    <w:p w14:paraId="5F5451F1" w14:textId="7A5F1CD3" w:rsidR="000C4BBA" w:rsidRPr="004140E8" w:rsidRDefault="00A81E09" w:rsidP="00C52DDE">
      <w:pPr>
        <w:spacing w:after="0" w:line="240" w:lineRule="auto"/>
      </w:pPr>
      <w:r w:rsidRPr="004140E8">
        <w:t xml:space="preserve">In the first 8 years TOP provided over 30,000 participant opportunities; </w:t>
      </w:r>
      <w:r w:rsidR="00E554DF" w:rsidRPr="004140E8">
        <w:t xml:space="preserve">a competition structure for youngsters at KS3 and KS4; </w:t>
      </w:r>
      <w:r w:rsidRPr="004140E8">
        <w:t xml:space="preserve">created 80 community clubs with 600 members; </w:t>
      </w:r>
      <w:r w:rsidR="00E554DF" w:rsidRPr="004140E8">
        <w:t>trained over 1000 qualified volunteers; developed 4 performance academies (in conjunction with NGB) and assisted 500 unemployed into employment, further education or work-related training. This success was underpinned by a series of grants. From a variety of local and national agencies.</w:t>
      </w:r>
    </w:p>
    <w:p w14:paraId="6B71346D" w14:textId="70F52797" w:rsidR="00E554DF" w:rsidRPr="004140E8" w:rsidRDefault="00E554DF" w:rsidP="00C52DDE">
      <w:pPr>
        <w:spacing w:after="0" w:line="240" w:lineRule="auto"/>
      </w:pPr>
    </w:p>
    <w:p w14:paraId="07FCBE93" w14:textId="624223E6" w:rsidR="00E554DF" w:rsidRPr="004140E8" w:rsidRDefault="00E554DF" w:rsidP="00C52DDE">
      <w:pPr>
        <w:spacing w:after="0" w:line="240" w:lineRule="auto"/>
      </w:pPr>
      <w:r w:rsidRPr="004140E8">
        <w:t>By 2015 the work of TOP was recognised as an example of good practice and their help and expertise was increasing</w:t>
      </w:r>
      <w:r w:rsidR="00DC4CC3" w:rsidRPr="004140E8">
        <w:t>ly in demand from other areas in Wales.</w:t>
      </w:r>
      <w:r w:rsidRPr="004140E8">
        <w:t xml:space="preserve">  In 2018 TOP </w:t>
      </w:r>
      <w:r w:rsidR="00DC4CC3" w:rsidRPr="004140E8">
        <w:t xml:space="preserve">secured a grant from </w:t>
      </w:r>
      <w:r w:rsidR="00EF1252" w:rsidRPr="004140E8">
        <w:t xml:space="preserve">The Big Lottery People and Places in Wales </w:t>
      </w:r>
      <w:r w:rsidR="00DC4CC3" w:rsidRPr="004140E8">
        <w:t>to extend its work in Wales. This followed in 2019 with a grant offer from the National Lottery Community Fund (UK Portfolio) to extend this wor</w:t>
      </w:r>
      <w:r w:rsidR="00EF1252" w:rsidRPr="004140E8">
        <w:t>k to other areas in the UK through the Opening Doors to the Outdoors</w:t>
      </w:r>
      <w:r w:rsidR="00DC4CC3" w:rsidRPr="004140E8">
        <w:t>.</w:t>
      </w:r>
      <w:r w:rsidRPr="004140E8">
        <w:tab/>
      </w:r>
      <w:r w:rsidR="00EF1252" w:rsidRPr="004140E8">
        <w:t xml:space="preserve"> TOP will be supported by RPT Consulting in delivering this project.</w:t>
      </w:r>
    </w:p>
    <w:p w14:paraId="4A6D246E" w14:textId="77777777" w:rsidR="00AA48FD" w:rsidRPr="004140E8" w:rsidRDefault="00AA48FD" w:rsidP="00C52DDE">
      <w:pPr>
        <w:spacing w:after="0" w:line="240" w:lineRule="auto"/>
      </w:pPr>
    </w:p>
    <w:p w14:paraId="0FF6619E" w14:textId="7E7F577A" w:rsidR="00A02182" w:rsidRPr="004140E8" w:rsidRDefault="007E74CA" w:rsidP="0025091D">
      <w:pPr>
        <w:spacing w:after="0" w:line="240" w:lineRule="auto"/>
      </w:pPr>
      <w:r w:rsidRPr="004140E8">
        <w:rPr>
          <w:b/>
          <w:u w:val="single"/>
        </w:rPr>
        <w:t>Aims of the Project</w:t>
      </w:r>
    </w:p>
    <w:p w14:paraId="2BD3F559" w14:textId="6775D40B" w:rsidR="00844DFE" w:rsidRPr="004140E8" w:rsidRDefault="007E74CA" w:rsidP="00631758">
      <w:pPr>
        <w:spacing w:after="0" w:line="240" w:lineRule="auto"/>
      </w:pPr>
      <w:r w:rsidRPr="004140E8">
        <w:t>The aim of the project is to inspire</w:t>
      </w:r>
      <w:r w:rsidR="0050055B" w:rsidRPr="004140E8">
        <w:t xml:space="preserve"> and support</w:t>
      </w:r>
      <w:r w:rsidRPr="004140E8">
        <w:t xml:space="preserve"> other communities in the UK to </w:t>
      </w:r>
      <w:r w:rsidR="00AB2F6E" w:rsidRPr="004140E8">
        <w:t>develop</w:t>
      </w:r>
      <w:r w:rsidRPr="004140E8">
        <w:t xml:space="preserve"> an operational model similar to that used by TOP to </w:t>
      </w:r>
      <w:r w:rsidR="00AB2F6E" w:rsidRPr="004140E8">
        <w:t xml:space="preserve">inspire local people to </w:t>
      </w:r>
      <w:r w:rsidRPr="004140E8">
        <w:t xml:space="preserve">regularly engage in healthy activities outdoors to improve their sporting, educational, social, economic and community potential. This </w:t>
      </w:r>
      <w:r w:rsidR="00EF1252" w:rsidRPr="004140E8">
        <w:t xml:space="preserve">can be </w:t>
      </w:r>
      <w:r w:rsidRPr="004140E8">
        <w:t>achieved by bringing together key delivery agents to work collaboratively to use resources effectively for maximum impact.</w:t>
      </w:r>
    </w:p>
    <w:p w14:paraId="71F74A58" w14:textId="36EBF3E7" w:rsidR="007E74CA" w:rsidRPr="004140E8" w:rsidRDefault="007E74CA" w:rsidP="00631758">
      <w:pPr>
        <w:spacing w:after="0" w:line="240" w:lineRule="auto"/>
      </w:pPr>
    </w:p>
    <w:p w14:paraId="14F8A7FB" w14:textId="115D7241" w:rsidR="007E74CA" w:rsidRPr="004140E8" w:rsidRDefault="00C128EA" w:rsidP="00631758">
      <w:pPr>
        <w:spacing w:after="0" w:line="240" w:lineRule="auto"/>
        <w:rPr>
          <w:b/>
          <w:u w:val="single"/>
        </w:rPr>
      </w:pPr>
      <w:r w:rsidRPr="004140E8">
        <w:rPr>
          <w:b/>
          <w:u w:val="single"/>
        </w:rPr>
        <w:t>The Outdoor Partnership Model</w:t>
      </w:r>
    </w:p>
    <w:p w14:paraId="7D781DB0" w14:textId="66C79C5C" w:rsidR="00B900BE" w:rsidRPr="004140E8" w:rsidRDefault="00C128EA" w:rsidP="0025091D">
      <w:pPr>
        <w:spacing w:after="0" w:line="240" w:lineRule="auto"/>
      </w:pPr>
      <w:r w:rsidRPr="004140E8">
        <w:t xml:space="preserve">Our model is based on a continuum </w:t>
      </w:r>
      <w:r w:rsidR="00DD363B" w:rsidRPr="004140E8">
        <w:t>that engages</w:t>
      </w:r>
      <w:r w:rsidRPr="004140E8">
        <w:t xml:space="preserve"> community participants </w:t>
      </w:r>
      <w:r w:rsidR="0048505A" w:rsidRPr="004140E8">
        <w:t>(individuals, groups, interest communities and businesses)</w:t>
      </w:r>
      <w:r w:rsidR="00DD363B" w:rsidRPr="004140E8">
        <w:t xml:space="preserve"> in a collaborative approach</w:t>
      </w:r>
      <w:r w:rsidRPr="004140E8">
        <w:t xml:space="preserve"> through outdoor activities. The continuum provides opportunities for local residents across the whole diversity spectrum </w:t>
      </w:r>
      <w:r w:rsidR="009D630D" w:rsidRPr="004140E8">
        <w:t xml:space="preserve">to become involved with the outdoors </w:t>
      </w:r>
      <w:r w:rsidRPr="004140E8">
        <w:t xml:space="preserve">through </w:t>
      </w:r>
      <w:r w:rsidR="009D630D" w:rsidRPr="004140E8">
        <w:t xml:space="preserve">integrated </w:t>
      </w:r>
      <w:r w:rsidRPr="004140E8">
        <w:t>school</w:t>
      </w:r>
      <w:r w:rsidR="009D630D" w:rsidRPr="004140E8">
        <w:t>’</w:t>
      </w:r>
      <w:r w:rsidRPr="004140E8">
        <w:t>s programmes, community clubs, volunteering</w:t>
      </w:r>
      <w:r w:rsidR="009D630D" w:rsidRPr="004140E8">
        <w:t xml:space="preserve"> and </w:t>
      </w:r>
      <w:r w:rsidR="00AB2F6E" w:rsidRPr="004140E8">
        <w:t>employability</w:t>
      </w:r>
      <w:r w:rsidRPr="004140E8">
        <w:t xml:space="preserve"> </w:t>
      </w:r>
      <w:r w:rsidR="00AB2F6E" w:rsidRPr="004140E8">
        <w:t>programmes</w:t>
      </w:r>
      <w:r w:rsidR="009D630D" w:rsidRPr="004140E8">
        <w:t>. The project encourages social cohesion and allows participants to join or leave at a point suitable to their needs or, indeed, to reach and then remain at a level they feel comfortable at.</w:t>
      </w:r>
    </w:p>
    <w:p w14:paraId="3B2299ED" w14:textId="3977FE1A" w:rsidR="009D630D" w:rsidRPr="004140E8" w:rsidRDefault="009D630D" w:rsidP="0025091D">
      <w:pPr>
        <w:spacing w:after="0" w:line="240" w:lineRule="auto"/>
      </w:pPr>
    </w:p>
    <w:p w14:paraId="128B2881" w14:textId="13B0EC06" w:rsidR="009D630D" w:rsidRPr="004140E8" w:rsidRDefault="009D630D" w:rsidP="0025091D">
      <w:pPr>
        <w:spacing w:after="0" w:line="240" w:lineRule="auto"/>
        <w:rPr>
          <w:b/>
          <w:u w:val="single"/>
        </w:rPr>
      </w:pPr>
      <w:r w:rsidRPr="004140E8">
        <w:rPr>
          <w:b/>
          <w:u w:val="single"/>
        </w:rPr>
        <w:t>Partner Communities</w:t>
      </w:r>
    </w:p>
    <w:p w14:paraId="1C070FE7" w14:textId="216DE4F2" w:rsidR="009D630D" w:rsidRPr="004140E8" w:rsidRDefault="009D630D" w:rsidP="0025091D">
      <w:pPr>
        <w:spacing w:after="0" w:line="240" w:lineRule="auto"/>
      </w:pPr>
      <w:r w:rsidRPr="004140E8">
        <w:t xml:space="preserve">Desktop research reviewed </w:t>
      </w:r>
      <w:r w:rsidR="004C6836" w:rsidRPr="004140E8">
        <w:t xml:space="preserve">nine areas in England, Scotland and North Ireland, identifying similarities with North West Wales including natural resources, activity tourism, proximity to urban conurbations, employment profiles, levels of economic deprivation and outward youth migration. </w:t>
      </w:r>
    </w:p>
    <w:p w14:paraId="0FF4CD7E" w14:textId="2CA8721C" w:rsidR="004C6836" w:rsidRPr="004140E8" w:rsidRDefault="004C6836" w:rsidP="0025091D">
      <w:pPr>
        <w:spacing w:after="0" w:line="240" w:lineRule="auto"/>
      </w:pPr>
      <w:r w:rsidRPr="004140E8">
        <w:t>A further review of each area was undertaken focusing on contacts a</w:t>
      </w:r>
      <w:r w:rsidR="00DD363B" w:rsidRPr="004140E8">
        <w:t>nd</w:t>
      </w:r>
      <w:r w:rsidRPr="004140E8">
        <w:t xml:space="preserve"> resource</w:t>
      </w:r>
      <w:r w:rsidR="00DD363B" w:rsidRPr="004140E8">
        <w:t>s</w:t>
      </w:r>
      <w:r w:rsidRPr="004140E8">
        <w:t xml:space="preserve"> that already exist</w:t>
      </w:r>
      <w:r w:rsidR="00DD363B" w:rsidRPr="004140E8">
        <w:t xml:space="preserve"> in those areas. T</w:t>
      </w:r>
      <w:r w:rsidRPr="004140E8">
        <w:t xml:space="preserve">hree </w:t>
      </w:r>
      <w:r w:rsidR="00DD363B" w:rsidRPr="004140E8">
        <w:t xml:space="preserve">areas </w:t>
      </w:r>
      <w:r w:rsidRPr="004140E8">
        <w:t xml:space="preserve">were selected for detailed consultation and further discussion. These areas were </w:t>
      </w:r>
      <w:r w:rsidRPr="004140E8">
        <w:rPr>
          <w:b/>
        </w:rPr>
        <w:t>Ayrshire</w:t>
      </w:r>
      <w:r w:rsidRPr="004140E8">
        <w:t xml:space="preserve"> in Scotland; </w:t>
      </w:r>
      <w:r w:rsidRPr="004140E8">
        <w:rPr>
          <w:b/>
        </w:rPr>
        <w:t>Cumbria</w:t>
      </w:r>
      <w:r w:rsidRPr="004140E8">
        <w:t xml:space="preserve"> (Lake District National Park and western fringe)</w:t>
      </w:r>
      <w:r w:rsidR="00CE7996" w:rsidRPr="004140E8">
        <w:t xml:space="preserve"> in England</w:t>
      </w:r>
      <w:r w:rsidRPr="004140E8">
        <w:t xml:space="preserve">; </w:t>
      </w:r>
      <w:r w:rsidRPr="004140E8">
        <w:rPr>
          <w:b/>
        </w:rPr>
        <w:t>Newry, Mourne and County Down</w:t>
      </w:r>
      <w:r w:rsidRPr="004140E8">
        <w:t xml:space="preserve"> in North</w:t>
      </w:r>
      <w:r w:rsidR="00CE7996" w:rsidRPr="004140E8">
        <w:t>ern Ireland.</w:t>
      </w:r>
    </w:p>
    <w:p w14:paraId="5DD9A558" w14:textId="01A90A52" w:rsidR="00CE7996" w:rsidRPr="004140E8" w:rsidRDefault="00CE7996" w:rsidP="0025091D">
      <w:pPr>
        <w:spacing w:after="0" w:line="240" w:lineRule="auto"/>
      </w:pPr>
    </w:p>
    <w:p w14:paraId="4CFDAE1A" w14:textId="15638780" w:rsidR="00CE7996" w:rsidRPr="004140E8" w:rsidRDefault="00AB2F6E" w:rsidP="0025091D">
      <w:pPr>
        <w:spacing w:after="0" w:line="240" w:lineRule="auto"/>
      </w:pPr>
      <w:r w:rsidRPr="004140E8">
        <w:lastRenderedPageBreak/>
        <w:t xml:space="preserve">Discussions with the </w:t>
      </w:r>
      <w:r w:rsidR="00CE7996" w:rsidRPr="004140E8">
        <w:t>areas revealed issues which have been successfully tackled by TOP including low community engagement (putting people in the lead); lack of equality and diversity (this Girl’s Adventure</w:t>
      </w:r>
      <w:r w:rsidRPr="004140E8">
        <w:t xml:space="preserve"> and Inclusive Adventure programmes</w:t>
      </w:r>
      <w:r w:rsidR="00CE7996" w:rsidRPr="004140E8">
        <w:t>); and low apprenticeship development (Pathways to Employment</w:t>
      </w:r>
      <w:r w:rsidRPr="004140E8">
        <w:t xml:space="preserve"> programme</w:t>
      </w:r>
      <w:r w:rsidR="00CE7996" w:rsidRPr="004140E8">
        <w:t>). Discussions also revealed a fragmented outdoor environment with plenty of opportunities and a willingness of those involved to work together.</w:t>
      </w:r>
    </w:p>
    <w:p w14:paraId="2E4C66B0" w14:textId="77777777" w:rsidR="00397794" w:rsidRPr="004140E8" w:rsidRDefault="00397794" w:rsidP="0025091D">
      <w:pPr>
        <w:spacing w:after="0" w:line="240" w:lineRule="auto"/>
      </w:pPr>
    </w:p>
    <w:p w14:paraId="6B4ED895" w14:textId="1BCAC487" w:rsidR="009D630D" w:rsidRPr="004140E8" w:rsidRDefault="00FF4694" w:rsidP="0025091D">
      <w:pPr>
        <w:spacing w:after="0" w:line="240" w:lineRule="auto"/>
      </w:pPr>
      <w:r w:rsidRPr="004140E8">
        <w:rPr>
          <w:b/>
          <w:u w:val="single"/>
        </w:rPr>
        <w:t>Delivery Programmes</w:t>
      </w:r>
      <w:r w:rsidR="0048505A" w:rsidRPr="004140E8">
        <w:rPr>
          <w:b/>
          <w:u w:val="single"/>
        </w:rPr>
        <w:t xml:space="preserve"> </w:t>
      </w:r>
      <w:r w:rsidRPr="004140E8">
        <w:t xml:space="preserve">The project is funded over seven years with the objective to begin work in Ayrshire, Cumbria and North Ireland in the first year with two </w:t>
      </w:r>
      <w:r w:rsidR="005143FC" w:rsidRPr="004140E8">
        <w:t xml:space="preserve">or </w:t>
      </w:r>
      <w:r w:rsidRPr="004140E8">
        <w:t xml:space="preserve">more </w:t>
      </w:r>
      <w:r w:rsidR="00BB1705" w:rsidRPr="004140E8">
        <w:t>regions</w:t>
      </w:r>
      <w:r w:rsidRPr="004140E8">
        <w:t xml:space="preserve"> being established from year four. TOP </w:t>
      </w:r>
      <w:r w:rsidR="00BB1705" w:rsidRPr="004140E8">
        <w:t xml:space="preserve">with the support of RPT Consulting </w:t>
      </w:r>
      <w:r w:rsidRPr="004140E8">
        <w:t xml:space="preserve">will manage the programme through a development officer </w:t>
      </w:r>
      <w:r w:rsidR="0023079A" w:rsidRPr="004140E8">
        <w:t>for</w:t>
      </w:r>
      <w:r w:rsidRPr="004140E8">
        <w:t xml:space="preserve"> each </w:t>
      </w:r>
      <w:r w:rsidR="00BB1705" w:rsidRPr="004140E8">
        <w:t xml:space="preserve">region. The regions will be expected to enter into a partnership agreement with TOP. </w:t>
      </w:r>
      <w:r w:rsidRPr="004140E8">
        <w:t xml:space="preserve">A </w:t>
      </w:r>
      <w:r w:rsidR="00BB1705" w:rsidRPr="004140E8">
        <w:t xml:space="preserve">number </w:t>
      </w:r>
      <w:r w:rsidRPr="004140E8">
        <w:t xml:space="preserve">of </w:t>
      </w:r>
      <w:r w:rsidR="00BB1705" w:rsidRPr="004140E8">
        <w:t xml:space="preserve">governance </w:t>
      </w:r>
      <w:r w:rsidRPr="004140E8">
        <w:t xml:space="preserve">options have been identified for </w:t>
      </w:r>
      <w:r w:rsidR="00BB1705" w:rsidRPr="004140E8">
        <w:t xml:space="preserve">each regional </w:t>
      </w:r>
      <w:r w:rsidR="00C756C3" w:rsidRPr="004140E8">
        <w:t>project to</w:t>
      </w:r>
      <w:r w:rsidRPr="004140E8">
        <w:t xml:space="preserve"> consider and mould according to their </w:t>
      </w:r>
      <w:r w:rsidR="00BB1705" w:rsidRPr="004140E8">
        <w:t xml:space="preserve">local </w:t>
      </w:r>
      <w:r w:rsidRPr="004140E8">
        <w:t>requirements.</w:t>
      </w:r>
      <w:r w:rsidR="00537F6F" w:rsidRPr="004140E8">
        <w:t xml:space="preserve"> </w:t>
      </w:r>
    </w:p>
    <w:p w14:paraId="1585616D" w14:textId="38F742C7" w:rsidR="00537F6F" w:rsidRPr="004140E8" w:rsidRDefault="00537F6F" w:rsidP="0025091D">
      <w:pPr>
        <w:spacing w:after="0" w:line="240" w:lineRule="auto"/>
      </w:pPr>
    </w:p>
    <w:p w14:paraId="00C99E45" w14:textId="3868855B" w:rsidR="00537F6F" w:rsidRPr="004140E8" w:rsidRDefault="00537F6F" w:rsidP="0025091D">
      <w:pPr>
        <w:spacing w:after="0" w:line="240" w:lineRule="auto"/>
      </w:pPr>
      <w:r w:rsidRPr="004140E8">
        <w:t>The following key features are to be included in either the partnership agreements or the governance documents:</w:t>
      </w:r>
    </w:p>
    <w:p w14:paraId="76660C8F" w14:textId="603FD9C0" w:rsidR="00537F6F" w:rsidRPr="004140E8" w:rsidRDefault="00537F6F" w:rsidP="00537F6F">
      <w:pPr>
        <w:pStyle w:val="ListParagraph"/>
        <w:numPr>
          <w:ilvl w:val="0"/>
          <w:numId w:val="21"/>
        </w:numPr>
        <w:spacing w:after="0" w:line="240" w:lineRule="auto"/>
        <w:contextualSpacing w:val="0"/>
        <w:rPr>
          <w:rFonts w:asciiTheme="minorHAnsi" w:hAnsiTheme="minorHAnsi" w:cstheme="minorHAnsi"/>
        </w:rPr>
      </w:pPr>
      <w:r w:rsidRPr="004140E8">
        <w:rPr>
          <w:rFonts w:asciiTheme="minorHAnsi" w:hAnsiTheme="minorHAnsi" w:cstheme="minorHAnsi"/>
        </w:rPr>
        <w:t>Vision and objectives which are aligned to TOP</w:t>
      </w:r>
      <w:r w:rsidR="00DD363B" w:rsidRPr="004140E8">
        <w:rPr>
          <w:rFonts w:asciiTheme="minorHAnsi" w:hAnsiTheme="minorHAnsi" w:cstheme="minorHAnsi"/>
        </w:rPr>
        <w:t>’s</w:t>
      </w:r>
      <w:r w:rsidRPr="004140E8">
        <w:rPr>
          <w:rFonts w:asciiTheme="minorHAnsi" w:hAnsiTheme="minorHAnsi" w:cstheme="minorHAnsi"/>
        </w:rPr>
        <w:t xml:space="preserve"> vision and objectives, with a commitment to delivering sustainable outcomes</w:t>
      </w:r>
    </w:p>
    <w:p w14:paraId="43FCC26F" w14:textId="77777777" w:rsidR="00537F6F" w:rsidRPr="004140E8" w:rsidRDefault="00537F6F" w:rsidP="00537F6F">
      <w:pPr>
        <w:pStyle w:val="ListParagraph"/>
        <w:numPr>
          <w:ilvl w:val="0"/>
          <w:numId w:val="21"/>
        </w:numPr>
        <w:spacing w:after="0" w:line="240" w:lineRule="auto"/>
        <w:contextualSpacing w:val="0"/>
        <w:rPr>
          <w:rFonts w:asciiTheme="minorHAnsi" w:hAnsiTheme="minorHAnsi" w:cstheme="minorHAnsi"/>
        </w:rPr>
      </w:pPr>
      <w:r w:rsidRPr="004140E8">
        <w:rPr>
          <w:rFonts w:asciiTheme="minorHAnsi" w:hAnsiTheme="minorHAnsi" w:cstheme="minorHAnsi"/>
        </w:rPr>
        <w:t>A local board/stakeholder group – which has representation from local organisations within the outdoor recreation market who can support and drive the network, as in TOP</w:t>
      </w:r>
    </w:p>
    <w:p w14:paraId="52BBF929" w14:textId="77777777" w:rsidR="00537F6F" w:rsidRPr="004140E8" w:rsidRDefault="00537F6F" w:rsidP="00537F6F">
      <w:pPr>
        <w:pStyle w:val="ListParagraph"/>
        <w:numPr>
          <w:ilvl w:val="0"/>
          <w:numId w:val="21"/>
        </w:numPr>
        <w:spacing w:after="0" w:line="240" w:lineRule="auto"/>
        <w:contextualSpacing w:val="0"/>
        <w:rPr>
          <w:rFonts w:asciiTheme="minorHAnsi" w:hAnsiTheme="minorHAnsi" w:cstheme="minorHAnsi"/>
        </w:rPr>
      </w:pPr>
      <w:r w:rsidRPr="004140E8">
        <w:rPr>
          <w:rFonts w:asciiTheme="minorHAnsi" w:hAnsiTheme="minorHAnsi" w:cstheme="minorHAnsi"/>
        </w:rPr>
        <w:t>Commitment to the overall ethos and values of TOP and the TOP ‘brand’, ensuring they support and deliver programmes in partnership as opposed to in competition with existing providers</w:t>
      </w:r>
    </w:p>
    <w:p w14:paraId="105275C3" w14:textId="77777777" w:rsidR="00537F6F" w:rsidRPr="004140E8" w:rsidRDefault="00537F6F" w:rsidP="00537F6F">
      <w:pPr>
        <w:pStyle w:val="ListParagraph"/>
        <w:numPr>
          <w:ilvl w:val="0"/>
          <w:numId w:val="21"/>
        </w:numPr>
        <w:spacing w:after="0" w:line="240" w:lineRule="auto"/>
        <w:contextualSpacing w:val="0"/>
        <w:rPr>
          <w:rFonts w:asciiTheme="minorHAnsi" w:hAnsiTheme="minorHAnsi" w:cstheme="minorHAnsi"/>
        </w:rPr>
      </w:pPr>
      <w:r w:rsidRPr="004140E8">
        <w:rPr>
          <w:rFonts w:asciiTheme="minorHAnsi" w:hAnsiTheme="minorHAnsi" w:cstheme="minorHAnsi"/>
        </w:rPr>
        <w:t>A not for profit organisation – in that any surpluses should be reinvested in the delivery and achievement of the objectives.</w:t>
      </w:r>
    </w:p>
    <w:p w14:paraId="467C617A" w14:textId="77777777" w:rsidR="00537F6F" w:rsidRPr="004140E8" w:rsidRDefault="00537F6F" w:rsidP="00537F6F">
      <w:pPr>
        <w:pStyle w:val="ListParagraph"/>
        <w:numPr>
          <w:ilvl w:val="0"/>
          <w:numId w:val="21"/>
        </w:numPr>
        <w:spacing w:after="0" w:line="240" w:lineRule="auto"/>
        <w:contextualSpacing w:val="0"/>
        <w:rPr>
          <w:rFonts w:asciiTheme="minorHAnsi" w:hAnsiTheme="minorHAnsi" w:cstheme="minorHAnsi"/>
        </w:rPr>
      </w:pPr>
      <w:r w:rsidRPr="004140E8">
        <w:rPr>
          <w:rFonts w:asciiTheme="minorHAnsi" w:hAnsiTheme="minorHAnsi" w:cstheme="minorHAnsi"/>
        </w:rPr>
        <w:t>Recognition of the intellectual property of TOP and agreement to the use of the toolkits, materials and approaches</w:t>
      </w:r>
    </w:p>
    <w:p w14:paraId="2CB46288" w14:textId="77777777" w:rsidR="00537F6F" w:rsidRPr="004140E8" w:rsidRDefault="00537F6F" w:rsidP="00537F6F">
      <w:pPr>
        <w:pStyle w:val="ListParagraph"/>
        <w:numPr>
          <w:ilvl w:val="0"/>
          <w:numId w:val="21"/>
        </w:numPr>
        <w:spacing w:after="0" w:line="240" w:lineRule="auto"/>
        <w:contextualSpacing w:val="0"/>
        <w:rPr>
          <w:rFonts w:asciiTheme="minorHAnsi" w:hAnsiTheme="minorHAnsi" w:cstheme="minorHAnsi"/>
        </w:rPr>
      </w:pPr>
      <w:r w:rsidRPr="004140E8">
        <w:rPr>
          <w:rFonts w:asciiTheme="minorHAnsi" w:hAnsiTheme="minorHAnsi" w:cstheme="minorHAnsi"/>
        </w:rPr>
        <w:t>Agreement to the NCLF grant terms and conditions</w:t>
      </w:r>
    </w:p>
    <w:p w14:paraId="1CD0B553" w14:textId="77777777" w:rsidR="00537F6F" w:rsidRPr="004140E8" w:rsidRDefault="00537F6F" w:rsidP="0025091D">
      <w:pPr>
        <w:spacing w:after="0" w:line="240" w:lineRule="auto"/>
      </w:pPr>
    </w:p>
    <w:p w14:paraId="7F8F12B3" w14:textId="7F96AE56" w:rsidR="00BB1705" w:rsidRPr="004140E8" w:rsidRDefault="00537F6F" w:rsidP="0025091D">
      <w:pPr>
        <w:spacing w:after="0" w:line="240" w:lineRule="auto"/>
      </w:pPr>
      <w:r w:rsidRPr="004140E8">
        <w:t xml:space="preserve">The development approach for each area will follow the same pattern – identifying needs; establishing a stakeholder group; </w:t>
      </w:r>
      <w:r w:rsidR="00025BFB" w:rsidRPr="004140E8">
        <w:t xml:space="preserve">recruitment of staff; </w:t>
      </w:r>
      <w:r w:rsidRPr="004140E8">
        <w:t>research and prog</w:t>
      </w:r>
      <w:r w:rsidR="00025BFB" w:rsidRPr="004140E8">
        <w:t>ramme development; establish an</w:t>
      </w:r>
      <w:r w:rsidRPr="004140E8">
        <w:t xml:space="preserve"> organisation; launch, develop and deliver programmes; review and monitor. The development of TOP has taken 14 years to date but it is expected, from learned experience, the timescales to launch similar</w:t>
      </w:r>
      <w:r w:rsidR="00DD363B" w:rsidRPr="004140E8">
        <w:t xml:space="preserve"> </w:t>
      </w:r>
      <w:r w:rsidRPr="004140E8">
        <w:t>model</w:t>
      </w:r>
      <w:r w:rsidR="00025BFB" w:rsidRPr="004140E8">
        <w:t>s</w:t>
      </w:r>
      <w:r w:rsidRPr="004140E8">
        <w:t xml:space="preserve"> </w:t>
      </w:r>
      <w:r w:rsidR="00DD363B" w:rsidRPr="004140E8">
        <w:t xml:space="preserve">elsewhere </w:t>
      </w:r>
      <w:r w:rsidRPr="004140E8">
        <w:t xml:space="preserve">can be significantly reduced. The expected benefits for each area are on </w:t>
      </w:r>
      <w:r w:rsidRPr="004140E8">
        <w:rPr>
          <w:b/>
        </w:rPr>
        <w:t>Appendix 1.</w:t>
      </w:r>
    </w:p>
    <w:p w14:paraId="17DA6E0B" w14:textId="77777777" w:rsidR="00BB1705" w:rsidRPr="004140E8" w:rsidRDefault="00BB1705" w:rsidP="0025091D">
      <w:pPr>
        <w:spacing w:after="0" w:line="240" w:lineRule="auto"/>
      </w:pPr>
    </w:p>
    <w:p w14:paraId="53BF12E3" w14:textId="4EAF00E4" w:rsidR="00B95707" w:rsidRPr="004140E8" w:rsidRDefault="00B95707" w:rsidP="0025091D">
      <w:pPr>
        <w:spacing w:after="0" w:line="240" w:lineRule="auto"/>
        <w:rPr>
          <w:b/>
          <w:u w:val="single"/>
        </w:rPr>
      </w:pPr>
      <w:r w:rsidRPr="004140E8">
        <w:rPr>
          <w:b/>
          <w:u w:val="single"/>
        </w:rPr>
        <w:t>Expected Outcomes</w:t>
      </w:r>
    </w:p>
    <w:p w14:paraId="6FB88B9C" w14:textId="4C979724" w:rsidR="00B95707" w:rsidRPr="004140E8" w:rsidRDefault="00BB1705" w:rsidP="0025091D">
      <w:pPr>
        <w:spacing w:after="0" w:line="240" w:lineRule="auto"/>
      </w:pPr>
      <w:r w:rsidRPr="004140E8">
        <w:t xml:space="preserve">The project </w:t>
      </w:r>
      <w:r w:rsidR="00CA09BE" w:rsidRPr="004140E8">
        <w:t>is expected to deliver the following outcomes:</w:t>
      </w:r>
    </w:p>
    <w:p w14:paraId="131A5656" w14:textId="54F11EFB" w:rsidR="00CA09BE" w:rsidRPr="004140E8" w:rsidRDefault="00CA09BE" w:rsidP="00CA09BE">
      <w:pPr>
        <w:pStyle w:val="ListParagraph"/>
        <w:numPr>
          <w:ilvl w:val="0"/>
          <w:numId w:val="26"/>
        </w:numPr>
        <w:spacing w:after="0" w:line="240" w:lineRule="auto"/>
      </w:pPr>
      <w:r w:rsidRPr="004140E8">
        <w:t>Establish 3 partnership area across at least 2 countries in year 1 rising to 5 areas by year 4.</w:t>
      </w:r>
    </w:p>
    <w:p w14:paraId="413E6E08" w14:textId="4897928D" w:rsidR="00CA09BE" w:rsidRPr="004140E8" w:rsidRDefault="00CA09BE" w:rsidP="00CA09BE">
      <w:pPr>
        <w:pStyle w:val="ListParagraph"/>
        <w:numPr>
          <w:ilvl w:val="0"/>
          <w:numId w:val="26"/>
        </w:numPr>
        <w:spacing w:after="0" w:line="240" w:lineRule="auto"/>
      </w:pPr>
      <w:r w:rsidRPr="004140E8">
        <w:t>Develop activities that contribute to improvements in health, social, environmental and economic well-being through outdoor activity.</w:t>
      </w:r>
    </w:p>
    <w:p w14:paraId="79DE18FD" w14:textId="0877C21D" w:rsidR="00CA09BE" w:rsidRPr="004140E8" w:rsidRDefault="00CA09BE" w:rsidP="00CA09BE">
      <w:pPr>
        <w:pStyle w:val="ListParagraph"/>
        <w:numPr>
          <w:ilvl w:val="0"/>
          <w:numId w:val="26"/>
        </w:numPr>
        <w:spacing w:after="0" w:line="240" w:lineRule="auto"/>
      </w:pPr>
      <w:r w:rsidRPr="004140E8">
        <w:t xml:space="preserve">Each new partnership is expected to deliver generational change in social inclusion and community cohesion through: more participants; more education; more clubs; increased school club links; move volunteers; greater diversity engagement; moving unemployed people to </w:t>
      </w:r>
      <w:r w:rsidR="00025BFB" w:rsidRPr="004140E8">
        <w:t>e</w:t>
      </w:r>
      <w:r w:rsidRPr="004140E8">
        <w:t>ducation, training, volunteering or employment.</w:t>
      </w:r>
    </w:p>
    <w:p w14:paraId="0A46DD22" w14:textId="73E9EA86" w:rsidR="003E5C71" w:rsidRPr="004140E8" w:rsidRDefault="003E5C71" w:rsidP="00CA09BE">
      <w:pPr>
        <w:pStyle w:val="ListParagraph"/>
        <w:numPr>
          <w:ilvl w:val="0"/>
          <w:numId w:val="26"/>
        </w:numPr>
        <w:spacing w:after="0" w:line="240" w:lineRule="auto"/>
      </w:pPr>
      <w:r w:rsidRPr="004140E8">
        <w:t>Long term sustainability for TOP</w:t>
      </w:r>
    </w:p>
    <w:p w14:paraId="0823D1D2" w14:textId="77777777" w:rsidR="00B95707" w:rsidRPr="004140E8" w:rsidRDefault="00B95707" w:rsidP="0025091D">
      <w:pPr>
        <w:spacing w:after="0" w:line="240" w:lineRule="auto"/>
      </w:pPr>
    </w:p>
    <w:p w14:paraId="0FC834BD" w14:textId="6077C540" w:rsidR="00FF4694" w:rsidRPr="004140E8" w:rsidRDefault="00537F6F" w:rsidP="0025091D">
      <w:pPr>
        <w:spacing w:after="0" w:line="240" w:lineRule="auto"/>
        <w:rPr>
          <w:b/>
          <w:u w:val="single"/>
        </w:rPr>
      </w:pPr>
      <w:r w:rsidRPr="004140E8">
        <w:rPr>
          <w:b/>
          <w:u w:val="single"/>
        </w:rPr>
        <w:t>Financ</w:t>
      </w:r>
      <w:r w:rsidR="00BB1705" w:rsidRPr="004140E8">
        <w:rPr>
          <w:b/>
          <w:u w:val="single"/>
        </w:rPr>
        <w:t>e</w:t>
      </w:r>
    </w:p>
    <w:p w14:paraId="0FE4E1B5" w14:textId="156E0C03" w:rsidR="00FF4694" w:rsidRPr="004140E8" w:rsidRDefault="00537F6F" w:rsidP="0025091D">
      <w:pPr>
        <w:spacing w:after="0" w:line="240" w:lineRule="auto"/>
      </w:pPr>
      <w:r w:rsidRPr="004140E8">
        <w:t>This is a fully funded programme</w:t>
      </w:r>
      <w:r w:rsidR="003C4710" w:rsidRPr="004140E8">
        <w:t xml:space="preserve"> of £2.92 million over a seven-year period. Provision is made within the grant for the appointment of a full time UK Lottery </w:t>
      </w:r>
      <w:r w:rsidR="00DD363B" w:rsidRPr="004140E8">
        <w:t>p</w:t>
      </w:r>
      <w:r w:rsidR="003C4710" w:rsidRPr="004140E8">
        <w:t xml:space="preserve">rogramme </w:t>
      </w:r>
      <w:r w:rsidR="00DD363B" w:rsidRPr="004140E8">
        <w:t>m</w:t>
      </w:r>
      <w:r w:rsidR="003C4710" w:rsidRPr="004140E8">
        <w:t>anager; area development officer</w:t>
      </w:r>
      <w:r w:rsidR="00911B6E" w:rsidRPr="004140E8">
        <w:t xml:space="preserve">s; </w:t>
      </w:r>
      <w:r w:rsidR="003C4710" w:rsidRPr="004140E8">
        <w:t xml:space="preserve">TOP’s management, overview and support; project </w:t>
      </w:r>
      <w:r w:rsidR="00C756C3" w:rsidRPr="004140E8">
        <w:t>management and consultancy s</w:t>
      </w:r>
      <w:r w:rsidR="003C4710" w:rsidRPr="004140E8">
        <w:t>upport; new initiative fund; activity programme support; administration and marketing costs.</w:t>
      </w:r>
    </w:p>
    <w:p w14:paraId="6C77F478" w14:textId="77777777" w:rsidR="00C756C3" w:rsidRPr="004140E8" w:rsidRDefault="00C756C3" w:rsidP="0025091D">
      <w:pPr>
        <w:spacing w:after="0" w:line="240" w:lineRule="auto"/>
      </w:pPr>
    </w:p>
    <w:p w14:paraId="43319640" w14:textId="4093370B" w:rsidR="00911B6E" w:rsidRPr="004140E8" w:rsidRDefault="00C756C3">
      <w:pPr>
        <w:spacing w:after="0" w:line="240" w:lineRule="auto"/>
        <w:rPr>
          <w:b/>
          <w:u w:val="single"/>
        </w:rPr>
      </w:pPr>
      <w:r w:rsidRPr="004140E8">
        <w:lastRenderedPageBreak/>
        <w:t>As part of the project development, each region will be required to raise funds to ensure ongoing and future delivery for their region. The expected leverage for the project is an additional £1.612 million (in kind, people or cash) establishing a total value in the region of £4.533m.</w:t>
      </w:r>
      <w:r w:rsidR="00911B6E" w:rsidRPr="004140E8">
        <w:rPr>
          <w:b/>
          <w:u w:val="single"/>
        </w:rPr>
        <w:br w:type="page"/>
      </w:r>
    </w:p>
    <w:p w14:paraId="212019B7" w14:textId="4BDC8F01" w:rsidR="001168A2" w:rsidRPr="004140E8" w:rsidRDefault="001168A2" w:rsidP="001168A2">
      <w:pPr>
        <w:spacing w:after="0" w:line="240" w:lineRule="auto"/>
        <w:rPr>
          <w:b/>
          <w:u w:val="single"/>
        </w:rPr>
      </w:pPr>
      <w:r w:rsidRPr="004140E8">
        <w:rPr>
          <w:b/>
          <w:u w:val="single"/>
        </w:rPr>
        <w:lastRenderedPageBreak/>
        <w:t>Appendix</w:t>
      </w:r>
      <w:r w:rsidR="00911B6E" w:rsidRPr="004140E8">
        <w:rPr>
          <w:b/>
          <w:u w:val="single"/>
        </w:rPr>
        <w:t xml:space="preserve"> 1</w:t>
      </w:r>
    </w:p>
    <w:p w14:paraId="6766EDA8" w14:textId="72B82D21" w:rsidR="00911B6E" w:rsidRPr="004140E8" w:rsidRDefault="00911B6E" w:rsidP="001168A2">
      <w:pPr>
        <w:spacing w:after="0" w:line="240" w:lineRule="auto"/>
        <w:rPr>
          <w:b/>
          <w:u w:val="single"/>
        </w:rPr>
      </w:pPr>
    </w:p>
    <w:p w14:paraId="649EAA33" w14:textId="5493CF21" w:rsidR="00911B6E" w:rsidRPr="004140E8" w:rsidRDefault="00911B6E" w:rsidP="00911B6E">
      <w:pPr>
        <w:spacing w:after="0" w:line="240" w:lineRule="auto"/>
        <w:ind w:left="720"/>
        <w:rPr>
          <w:rFonts w:asciiTheme="minorHAnsi" w:hAnsiTheme="minorHAnsi" w:cstheme="minorHAnsi"/>
        </w:rPr>
      </w:pPr>
      <w:r w:rsidRPr="004140E8">
        <w:rPr>
          <w:rFonts w:asciiTheme="minorHAnsi" w:hAnsiTheme="minorHAnsi" w:cstheme="minorHAnsi"/>
        </w:rPr>
        <w:t>New areas will benefit from the following aspects, as opposed to simply funding a development officer in the new areas.</w:t>
      </w:r>
    </w:p>
    <w:p w14:paraId="457E16A8" w14:textId="77777777" w:rsidR="00911B6E" w:rsidRPr="004140E8" w:rsidRDefault="00911B6E" w:rsidP="00911B6E">
      <w:pPr>
        <w:spacing w:after="0" w:line="240" w:lineRule="auto"/>
        <w:ind w:left="720"/>
        <w:rPr>
          <w:rFonts w:asciiTheme="minorHAnsi" w:hAnsiTheme="minorHAnsi" w:cstheme="minorHAnsi"/>
        </w:rPr>
      </w:pPr>
    </w:p>
    <w:p w14:paraId="35F44BFB" w14:textId="77777777" w:rsidR="00911B6E" w:rsidRPr="004140E8" w:rsidRDefault="00911B6E" w:rsidP="00911B6E">
      <w:pPr>
        <w:pStyle w:val="ListParagraph"/>
        <w:numPr>
          <w:ilvl w:val="0"/>
          <w:numId w:val="23"/>
        </w:numPr>
        <w:spacing w:after="0" w:line="240" w:lineRule="auto"/>
        <w:ind w:left="1134" w:hanging="283"/>
        <w:rPr>
          <w:rFonts w:asciiTheme="minorHAnsi" w:hAnsiTheme="minorHAnsi" w:cstheme="minorHAnsi"/>
        </w:rPr>
      </w:pPr>
      <w:r w:rsidRPr="004140E8">
        <w:rPr>
          <w:rFonts w:asciiTheme="minorHAnsi" w:hAnsiTheme="minorHAnsi" w:cstheme="minorHAnsi"/>
        </w:rPr>
        <w:t xml:space="preserve">New areas will get the benefit of a successfully tried and tested </w:t>
      </w:r>
      <w:r w:rsidRPr="004140E8">
        <w:rPr>
          <w:rFonts w:asciiTheme="minorHAnsi" w:hAnsiTheme="minorHAnsi" w:cstheme="minorHAnsi"/>
          <w:b/>
        </w:rPr>
        <w:t>development model based on a continuum</w:t>
      </w:r>
      <w:r w:rsidRPr="004140E8">
        <w:rPr>
          <w:rFonts w:asciiTheme="minorHAnsi" w:hAnsiTheme="minorHAnsi" w:cstheme="minorHAnsi"/>
        </w:rPr>
        <w:t xml:space="preserve"> starting at school age through local clubs, volunteering, nationally recognised qualifications and training, which could lead to employment and/or life-long enjoyment of the outdoor environment.</w:t>
      </w:r>
    </w:p>
    <w:p w14:paraId="7813BF3C" w14:textId="77777777" w:rsidR="00911B6E" w:rsidRPr="004140E8" w:rsidRDefault="00911B6E" w:rsidP="00911B6E">
      <w:pPr>
        <w:pStyle w:val="ListParagraph"/>
        <w:numPr>
          <w:ilvl w:val="0"/>
          <w:numId w:val="23"/>
        </w:numPr>
        <w:spacing w:after="0" w:line="240" w:lineRule="auto"/>
        <w:ind w:left="1134" w:hanging="283"/>
        <w:rPr>
          <w:rFonts w:asciiTheme="minorHAnsi" w:hAnsiTheme="minorHAnsi" w:cstheme="minorHAnsi"/>
        </w:rPr>
      </w:pPr>
      <w:r w:rsidRPr="004140E8">
        <w:rPr>
          <w:rFonts w:asciiTheme="minorHAnsi" w:hAnsiTheme="minorHAnsi" w:cstheme="minorHAnsi"/>
        </w:rPr>
        <w:t xml:space="preserve">An ethos of </w:t>
      </w:r>
      <w:r w:rsidRPr="004140E8">
        <w:rPr>
          <w:rFonts w:asciiTheme="minorHAnsi" w:hAnsiTheme="minorHAnsi" w:cstheme="minorHAnsi"/>
          <w:b/>
        </w:rPr>
        <w:t>self-help and self-determination</w:t>
      </w:r>
      <w:r w:rsidRPr="004140E8">
        <w:rPr>
          <w:rFonts w:asciiTheme="minorHAnsi" w:hAnsiTheme="minorHAnsi" w:cstheme="minorHAnsi"/>
        </w:rPr>
        <w:t>. Development will be user led but TOP will be there to provide the key with ongoing guidance and support.</w:t>
      </w:r>
    </w:p>
    <w:p w14:paraId="289C65F2" w14:textId="77777777" w:rsidR="00911B6E" w:rsidRPr="004140E8" w:rsidRDefault="00911B6E" w:rsidP="00911B6E">
      <w:pPr>
        <w:pStyle w:val="ListParagraph"/>
        <w:numPr>
          <w:ilvl w:val="0"/>
          <w:numId w:val="23"/>
        </w:numPr>
        <w:spacing w:after="0" w:line="240" w:lineRule="auto"/>
        <w:ind w:left="1134" w:hanging="283"/>
        <w:rPr>
          <w:rFonts w:asciiTheme="minorHAnsi" w:hAnsiTheme="minorHAnsi" w:cstheme="minorHAnsi"/>
        </w:rPr>
      </w:pPr>
      <w:r w:rsidRPr="004140E8">
        <w:rPr>
          <w:rFonts w:asciiTheme="minorHAnsi" w:hAnsiTheme="minorHAnsi" w:cstheme="minorHAnsi"/>
        </w:rPr>
        <w:t xml:space="preserve">Bring disparate members/ clubs/ organisations in the community to work together to produce </w:t>
      </w:r>
      <w:r w:rsidRPr="004140E8">
        <w:rPr>
          <w:rFonts w:asciiTheme="minorHAnsi" w:hAnsiTheme="minorHAnsi" w:cstheme="minorHAnsi"/>
          <w:b/>
        </w:rPr>
        <w:t>efficient and effective use of community resources</w:t>
      </w:r>
      <w:r w:rsidRPr="004140E8">
        <w:rPr>
          <w:rFonts w:asciiTheme="minorHAnsi" w:hAnsiTheme="minorHAnsi" w:cstheme="minorHAnsi"/>
        </w:rPr>
        <w:t xml:space="preserve"> including equipment, facilities, manpower and knowledge.</w:t>
      </w:r>
    </w:p>
    <w:p w14:paraId="12FFC637" w14:textId="77777777" w:rsidR="00911B6E" w:rsidRPr="004140E8" w:rsidRDefault="00911B6E" w:rsidP="00911B6E">
      <w:pPr>
        <w:pStyle w:val="ListParagraph"/>
        <w:numPr>
          <w:ilvl w:val="0"/>
          <w:numId w:val="23"/>
        </w:numPr>
        <w:spacing w:after="0" w:line="240" w:lineRule="auto"/>
        <w:ind w:left="1134" w:hanging="283"/>
        <w:rPr>
          <w:rFonts w:asciiTheme="minorHAnsi" w:hAnsiTheme="minorHAnsi" w:cstheme="minorHAnsi"/>
        </w:rPr>
      </w:pPr>
      <w:r w:rsidRPr="004140E8">
        <w:rPr>
          <w:rFonts w:asciiTheme="minorHAnsi" w:hAnsiTheme="minorHAnsi" w:cstheme="minorHAnsi"/>
        </w:rPr>
        <w:t xml:space="preserve">Increase opportunities at all levels but particularly </w:t>
      </w:r>
      <w:r w:rsidRPr="004140E8">
        <w:rPr>
          <w:rFonts w:asciiTheme="minorHAnsi" w:hAnsiTheme="minorHAnsi" w:cstheme="minorHAnsi"/>
          <w:b/>
        </w:rPr>
        <w:t>participation by underrepresented communities</w:t>
      </w:r>
      <w:r w:rsidRPr="004140E8">
        <w:rPr>
          <w:rFonts w:asciiTheme="minorHAnsi" w:hAnsiTheme="minorHAnsi" w:cstheme="minorHAnsi"/>
        </w:rPr>
        <w:t xml:space="preserve"> (pan disabilities, young people, women and girls, BME and unemployed people).</w:t>
      </w:r>
    </w:p>
    <w:p w14:paraId="7963E286" w14:textId="77777777" w:rsidR="00911B6E" w:rsidRPr="004140E8" w:rsidRDefault="00911B6E" w:rsidP="00911B6E">
      <w:pPr>
        <w:pStyle w:val="ListParagraph"/>
        <w:numPr>
          <w:ilvl w:val="0"/>
          <w:numId w:val="23"/>
        </w:numPr>
        <w:spacing w:after="0" w:line="240" w:lineRule="auto"/>
        <w:ind w:left="1134" w:hanging="283"/>
        <w:rPr>
          <w:rFonts w:asciiTheme="minorHAnsi" w:hAnsiTheme="minorHAnsi" w:cstheme="minorHAnsi"/>
        </w:rPr>
      </w:pPr>
      <w:r w:rsidRPr="004140E8">
        <w:rPr>
          <w:rFonts w:asciiTheme="minorHAnsi" w:hAnsiTheme="minorHAnsi" w:cstheme="minorHAnsi"/>
        </w:rPr>
        <w:t xml:space="preserve">An </w:t>
      </w:r>
      <w:r w:rsidRPr="004140E8">
        <w:rPr>
          <w:rFonts w:asciiTheme="minorHAnsi" w:hAnsiTheme="minorHAnsi" w:cstheme="minorHAnsi"/>
          <w:b/>
        </w:rPr>
        <w:t>improved sense of community ownership</w:t>
      </w:r>
      <w:r w:rsidRPr="004140E8">
        <w:rPr>
          <w:rFonts w:asciiTheme="minorHAnsi" w:hAnsiTheme="minorHAnsi" w:cstheme="minorHAnsi"/>
        </w:rPr>
        <w:t>. Each development area will progress differently but determined by the community it serves.</w:t>
      </w:r>
    </w:p>
    <w:p w14:paraId="07F637E1" w14:textId="77777777" w:rsidR="00911B6E" w:rsidRPr="004140E8" w:rsidRDefault="00911B6E" w:rsidP="00911B6E">
      <w:pPr>
        <w:pStyle w:val="ListParagraph"/>
        <w:numPr>
          <w:ilvl w:val="0"/>
          <w:numId w:val="23"/>
        </w:numPr>
        <w:spacing w:after="0" w:line="240" w:lineRule="auto"/>
        <w:ind w:left="1134" w:hanging="283"/>
        <w:rPr>
          <w:rFonts w:asciiTheme="minorHAnsi" w:hAnsiTheme="minorHAnsi" w:cstheme="minorHAnsi"/>
        </w:rPr>
      </w:pPr>
      <w:r w:rsidRPr="004140E8">
        <w:rPr>
          <w:rFonts w:asciiTheme="minorHAnsi" w:hAnsiTheme="minorHAnsi" w:cstheme="minorHAnsi"/>
        </w:rPr>
        <w:t xml:space="preserve">By engaging the community in determining its own direction of travel </w:t>
      </w:r>
      <w:r w:rsidRPr="004140E8">
        <w:rPr>
          <w:rFonts w:asciiTheme="minorHAnsi" w:hAnsiTheme="minorHAnsi" w:cstheme="minorHAnsi"/>
          <w:b/>
        </w:rPr>
        <w:t>common standards</w:t>
      </w:r>
      <w:r w:rsidRPr="004140E8">
        <w:rPr>
          <w:rFonts w:asciiTheme="minorHAnsi" w:hAnsiTheme="minorHAnsi" w:cstheme="minorHAnsi"/>
        </w:rPr>
        <w:t xml:space="preserve"> will be adopted benefitting, for example, access, environment, leadership, care for vulnerable communities.</w:t>
      </w:r>
    </w:p>
    <w:p w14:paraId="0BCA5655" w14:textId="77777777" w:rsidR="00911B6E" w:rsidRPr="004140E8" w:rsidRDefault="00911B6E" w:rsidP="00911B6E">
      <w:pPr>
        <w:pStyle w:val="ListParagraph"/>
        <w:numPr>
          <w:ilvl w:val="0"/>
          <w:numId w:val="23"/>
        </w:numPr>
        <w:spacing w:after="0" w:line="240" w:lineRule="auto"/>
        <w:ind w:left="1134" w:hanging="283"/>
        <w:rPr>
          <w:rFonts w:asciiTheme="minorHAnsi" w:hAnsiTheme="minorHAnsi" w:cstheme="minorHAnsi"/>
        </w:rPr>
      </w:pPr>
      <w:r w:rsidRPr="004140E8">
        <w:rPr>
          <w:rFonts w:asciiTheme="minorHAnsi" w:hAnsiTheme="minorHAnsi" w:cstheme="minorHAnsi"/>
        </w:rPr>
        <w:t xml:space="preserve">TOP can demonstrate, through experience, all levels of interest and ability will be engaged. So often “outdoor activities” associated with a wild, frightening and extreme environment that is hard to get to and is time and money consuming. Much of the </w:t>
      </w:r>
      <w:r w:rsidRPr="004140E8">
        <w:rPr>
          <w:rFonts w:asciiTheme="minorHAnsi" w:hAnsiTheme="minorHAnsi" w:cstheme="minorHAnsi"/>
          <w:b/>
        </w:rPr>
        <w:t>development work will be based on easy to access, bite sized local activities</w:t>
      </w:r>
      <w:r w:rsidRPr="004140E8">
        <w:rPr>
          <w:rFonts w:asciiTheme="minorHAnsi" w:hAnsiTheme="minorHAnsi" w:cstheme="minorHAnsi"/>
        </w:rPr>
        <w:t xml:space="preserve"> requiring little skill and knowledge but with a wide potential to develop and expand.</w:t>
      </w:r>
    </w:p>
    <w:p w14:paraId="6C5EB911" w14:textId="77777777" w:rsidR="00911B6E" w:rsidRPr="004140E8" w:rsidRDefault="00911B6E" w:rsidP="00911B6E">
      <w:pPr>
        <w:pStyle w:val="ListParagraph"/>
        <w:numPr>
          <w:ilvl w:val="0"/>
          <w:numId w:val="23"/>
        </w:numPr>
        <w:spacing w:after="0" w:line="240" w:lineRule="auto"/>
        <w:ind w:left="1134" w:hanging="283"/>
        <w:rPr>
          <w:rFonts w:asciiTheme="minorHAnsi" w:hAnsiTheme="minorHAnsi" w:cstheme="minorHAnsi"/>
        </w:rPr>
      </w:pPr>
      <w:r w:rsidRPr="004140E8">
        <w:rPr>
          <w:rFonts w:asciiTheme="minorHAnsi" w:hAnsiTheme="minorHAnsi" w:cstheme="minorHAnsi"/>
          <w:b/>
        </w:rPr>
        <w:t>Inward investment</w:t>
      </w:r>
      <w:r w:rsidRPr="004140E8">
        <w:rPr>
          <w:rFonts w:asciiTheme="minorHAnsi" w:hAnsiTheme="minorHAnsi" w:cstheme="minorHAnsi"/>
        </w:rPr>
        <w:t>, often low cost/high benefit, through structured grant applications benefitting more than one interest in the community. For example, community equipment hubs benefitting schools and clubs.</w:t>
      </w:r>
    </w:p>
    <w:p w14:paraId="08EEB83E" w14:textId="32407639" w:rsidR="00911B6E" w:rsidRPr="004140E8" w:rsidRDefault="00911B6E" w:rsidP="00911B6E">
      <w:pPr>
        <w:pStyle w:val="ListParagraph"/>
        <w:numPr>
          <w:ilvl w:val="0"/>
          <w:numId w:val="23"/>
        </w:numPr>
        <w:spacing w:after="0" w:line="240" w:lineRule="auto"/>
        <w:ind w:left="1134" w:hanging="283"/>
        <w:rPr>
          <w:rFonts w:asciiTheme="minorHAnsi" w:hAnsiTheme="minorHAnsi" w:cstheme="minorHAnsi"/>
        </w:rPr>
      </w:pPr>
      <w:r w:rsidRPr="004140E8">
        <w:rPr>
          <w:rFonts w:asciiTheme="minorHAnsi" w:hAnsiTheme="minorHAnsi" w:cstheme="minorHAnsi"/>
        </w:rPr>
        <w:t xml:space="preserve">The formation of </w:t>
      </w:r>
      <w:r w:rsidRPr="004140E8">
        <w:rPr>
          <w:rFonts w:asciiTheme="minorHAnsi" w:hAnsiTheme="minorHAnsi" w:cstheme="minorHAnsi"/>
          <w:b/>
        </w:rPr>
        <w:t>strong school club links</w:t>
      </w:r>
      <w:r w:rsidRPr="004140E8">
        <w:rPr>
          <w:rFonts w:asciiTheme="minorHAnsi" w:hAnsiTheme="minorHAnsi" w:cstheme="minorHAnsi"/>
        </w:rPr>
        <w:t>. The everyday part of this work is done by the community, not the development officer.</w:t>
      </w:r>
    </w:p>
    <w:p w14:paraId="491EC7C3" w14:textId="77777777" w:rsidR="00911B6E" w:rsidRPr="004140E8" w:rsidRDefault="00911B6E" w:rsidP="00911B6E">
      <w:pPr>
        <w:pStyle w:val="ListParagraph"/>
        <w:numPr>
          <w:ilvl w:val="0"/>
          <w:numId w:val="23"/>
        </w:numPr>
        <w:spacing w:after="0" w:line="240" w:lineRule="auto"/>
        <w:ind w:left="1134" w:hanging="283"/>
        <w:rPr>
          <w:rFonts w:asciiTheme="minorHAnsi" w:hAnsiTheme="minorHAnsi" w:cstheme="minorHAnsi"/>
        </w:rPr>
      </w:pPr>
      <w:r w:rsidRPr="004140E8">
        <w:rPr>
          <w:rFonts w:asciiTheme="minorHAnsi" w:hAnsiTheme="minorHAnsi" w:cstheme="minorHAnsi"/>
          <w:b/>
        </w:rPr>
        <w:t>Shared community experiences and knowledge transfer</w:t>
      </w:r>
      <w:r w:rsidRPr="004140E8">
        <w:rPr>
          <w:rFonts w:asciiTheme="minorHAnsi" w:hAnsiTheme="minorHAnsi" w:cstheme="minorHAnsi"/>
        </w:rPr>
        <w:t>.</w:t>
      </w:r>
    </w:p>
    <w:p w14:paraId="3CE2683F" w14:textId="77777777" w:rsidR="00911B6E" w:rsidRPr="004140E8" w:rsidRDefault="00911B6E" w:rsidP="00911B6E">
      <w:pPr>
        <w:pStyle w:val="ListParagraph"/>
        <w:numPr>
          <w:ilvl w:val="0"/>
          <w:numId w:val="23"/>
        </w:numPr>
        <w:spacing w:after="0" w:line="240" w:lineRule="auto"/>
        <w:ind w:left="1134" w:hanging="283"/>
        <w:rPr>
          <w:rFonts w:asciiTheme="minorHAnsi" w:hAnsiTheme="minorHAnsi" w:cstheme="minorHAnsi"/>
        </w:rPr>
      </w:pPr>
      <w:r w:rsidRPr="004140E8">
        <w:rPr>
          <w:rFonts w:asciiTheme="minorHAnsi" w:hAnsiTheme="minorHAnsi" w:cstheme="minorHAnsi"/>
        </w:rPr>
        <w:t xml:space="preserve">Increased participation leads to increased volunteering opportunities, increase employment opportunities, and </w:t>
      </w:r>
      <w:r w:rsidRPr="004140E8">
        <w:rPr>
          <w:rFonts w:asciiTheme="minorHAnsi" w:hAnsiTheme="minorHAnsi" w:cstheme="minorHAnsi"/>
          <w:b/>
        </w:rPr>
        <w:t>better health related benefits</w:t>
      </w:r>
      <w:r w:rsidRPr="004140E8">
        <w:rPr>
          <w:rFonts w:asciiTheme="minorHAnsi" w:hAnsiTheme="minorHAnsi" w:cstheme="minorHAnsi"/>
        </w:rPr>
        <w:t>.</w:t>
      </w:r>
    </w:p>
    <w:p w14:paraId="54C5FBA6" w14:textId="77777777" w:rsidR="00911B6E" w:rsidRPr="004140E8" w:rsidRDefault="00911B6E" w:rsidP="00911B6E">
      <w:pPr>
        <w:pStyle w:val="ListParagraph"/>
        <w:numPr>
          <w:ilvl w:val="0"/>
          <w:numId w:val="23"/>
        </w:numPr>
        <w:spacing w:after="0" w:line="240" w:lineRule="auto"/>
        <w:ind w:left="1134" w:hanging="283"/>
        <w:rPr>
          <w:rFonts w:asciiTheme="minorHAnsi" w:hAnsiTheme="minorHAnsi" w:cstheme="minorHAnsi"/>
        </w:rPr>
      </w:pPr>
      <w:r w:rsidRPr="004140E8">
        <w:rPr>
          <w:rFonts w:asciiTheme="minorHAnsi" w:hAnsiTheme="minorHAnsi" w:cstheme="minorHAnsi"/>
          <w:b/>
        </w:rPr>
        <w:t>Structured training for volunteers</w:t>
      </w:r>
      <w:r w:rsidRPr="004140E8">
        <w:rPr>
          <w:rFonts w:asciiTheme="minorHAnsi" w:hAnsiTheme="minorHAnsi" w:cstheme="minorHAnsi"/>
        </w:rPr>
        <w:t>. Much of the knowledge a volunteer is generic and transferable. So time spent training volunteers and structuring their contribution can be carried over to other aspects of community life. This increases confidence and purpose.</w:t>
      </w:r>
    </w:p>
    <w:p w14:paraId="4A53E313" w14:textId="77777777" w:rsidR="00911B6E" w:rsidRPr="004140E8" w:rsidRDefault="00911B6E" w:rsidP="00911B6E">
      <w:pPr>
        <w:pStyle w:val="ListParagraph"/>
        <w:numPr>
          <w:ilvl w:val="0"/>
          <w:numId w:val="23"/>
        </w:numPr>
        <w:spacing w:after="0" w:line="240" w:lineRule="auto"/>
        <w:ind w:left="1134" w:hanging="283"/>
        <w:rPr>
          <w:rFonts w:asciiTheme="minorHAnsi" w:hAnsiTheme="minorHAnsi" w:cstheme="minorHAnsi"/>
        </w:rPr>
      </w:pPr>
      <w:r w:rsidRPr="004140E8">
        <w:rPr>
          <w:rFonts w:asciiTheme="minorHAnsi" w:hAnsiTheme="minorHAnsi" w:cstheme="minorHAnsi"/>
        </w:rPr>
        <w:t xml:space="preserve">Engagement in a cohesive way will </w:t>
      </w:r>
      <w:r w:rsidRPr="004140E8">
        <w:rPr>
          <w:rFonts w:asciiTheme="minorHAnsi" w:hAnsiTheme="minorHAnsi" w:cstheme="minorHAnsi"/>
          <w:b/>
        </w:rPr>
        <w:t>produce off shoot community benefit</w:t>
      </w:r>
      <w:r w:rsidRPr="004140E8">
        <w:rPr>
          <w:rFonts w:asciiTheme="minorHAnsi" w:hAnsiTheme="minorHAnsi" w:cstheme="minorHAnsi"/>
        </w:rPr>
        <w:t>s that are not directly related to the outdoors.</w:t>
      </w:r>
    </w:p>
    <w:p w14:paraId="0F3B2C98" w14:textId="77777777" w:rsidR="00911B6E" w:rsidRPr="004140E8" w:rsidRDefault="00911B6E" w:rsidP="00911B6E">
      <w:pPr>
        <w:pStyle w:val="ListParagraph"/>
        <w:numPr>
          <w:ilvl w:val="0"/>
          <w:numId w:val="23"/>
        </w:numPr>
        <w:spacing w:after="0" w:line="240" w:lineRule="auto"/>
        <w:ind w:left="1134" w:hanging="283"/>
        <w:rPr>
          <w:rFonts w:asciiTheme="minorHAnsi" w:hAnsiTheme="minorHAnsi" w:cstheme="minorHAnsi"/>
        </w:rPr>
      </w:pPr>
      <w:r w:rsidRPr="004140E8">
        <w:rPr>
          <w:rFonts w:asciiTheme="minorHAnsi" w:hAnsiTheme="minorHAnsi" w:cstheme="minorHAnsi"/>
        </w:rPr>
        <w:t xml:space="preserve">Development areas, once established, could give rise to </w:t>
      </w:r>
      <w:r w:rsidRPr="004140E8">
        <w:rPr>
          <w:rFonts w:asciiTheme="minorHAnsi" w:hAnsiTheme="minorHAnsi" w:cstheme="minorHAnsi"/>
          <w:b/>
        </w:rPr>
        <w:t>exchange visits</w:t>
      </w:r>
      <w:r w:rsidRPr="004140E8">
        <w:rPr>
          <w:rFonts w:asciiTheme="minorHAnsi" w:hAnsiTheme="minorHAnsi" w:cstheme="minorHAnsi"/>
        </w:rPr>
        <w:t xml:space="preserve"> (physical or knowledge based).</w:t>
      </w:r>
    </w:p>
    <w:p w14:paraId="6C2A6AC7" w14:textId="6E042D1D" w:rsidR="00911B6E" w:rsidRPr="004140E8" w:rsidRDefault="00911B6E" w:rsidP="00911B6E">
      <w:pPr>
        <w:pStyle w:val="ListParagraph"/>
        <w:numPr>
          <w:ilvl w:val="0"/>
          <w:numId w:val="23"/>
        </w:numPr>
        <w:spacing w:after="0" w:line="240" w:lineRule="auto"/>
        <w:ind w:left="1134" w:hanging="283"/>
        <w:rPr>
          <w:rFonts w:asciiTheme="minorHAnsi" w:hAnsiTheme="minorHAnsi" w:cstheme="minorHAnsi"/>
        </w:rPr>
      </w:pPr>
      <w:r w:rsidRPr="004140E8">
        <w:rPr>
          <w:rFonts w:asciiTheme="minorHAnsi" w:hAnsiTheme="minorHAnsi" w:cstheme="minorHAnsi"/>
          <w:b/>
        </w:rPr>
        <w:t>Improved governance, leading to greater community confidence and sense of place</w:t>
      </w:r>
      <w:r w:rsidRPr="004140E8">
        <w:rPr>
          <w:rFonts w:asciiTheme="minorHAnsi" w:hAnsiTheme="minorHAnsi" w:cstheme="minorHAnsi"/>
        </w:rPr>
        <w:t>.</w:t>
      </w:r>
    </w:p>
    <w:p w14:paraId="3143AB85" w14:textId="074FA6E3" w:rsidR="00911B6E" w:rsidRPr="004140E8" w:rsidRDefault="00911B6E" w:rsidP="00911B6E">
      <w:pPr>
        <w:spacing w:after="0" w:line="240" w:lineRule="auto"/>
        <w:rPr>
          <w:rFonts w:asciiTheme="minorHAnsi" w:hAnsiTheme="minorHAnsi" w:cstheme="minorHAnsi"/>
        </w:rPr>
      </w:pPr>
    </w:p>
    <w:p w14:paraId="15C2044C" w14:textId="7CD3E9A9" w:rsidR="00911B6E" w:rsidRPr="004140E8" w:rsidRDefault="00911B6E" w:rsidP="00911B6E">
      <w:pPr>
        <w:spacing w:after="0" w:line="240" w:lineRule="auto"/>
        <w:rPr>
          <w:rFonts w:asciiTheme="minorHAnsi" w:hAnsiTheme="minorHAnsi" w:cstheme="minorHAnsi"/>
          <w:i/>
        </w:rPr>
      </w:pPr>
      <w:r w:rsidRPr="004140E8">
        <w:rPr>
          <w:rFonts w:asciiTheme="minorHAnsi" w:hAnsiTheme="minorHAnsi" w:cstheme="minorHAnsi"/>
          <w:i/>
        </w:rPr>
        <w:t xml:space="preserve">(Exert from Para 4.25 of the Application) </w:t>
      </w:r>
    </w:p>
    <w:p w14:paraId="1EA848CC" w14:textId="77777777" w:rsidR="00911B6E" w:rsidRPr="004140E8" w:rsidRDefault="00911B6E" w:rsidP="001168A2">
      <w:pPr>
        <w:spacing w:after="0" w:line="240" w:lineRule="auto"/>
      </w:pPr>
    </w:p>
    <w:p w14:paraId="67873E2C" w14:textId="77777777" w:rsidR="001168A2" w:rsidRPr="004140E8" w:rsidRDefault="001168A2" w:rsidP="001168A2">
      <w:pPr>
        <w:spacing w:after="0" w:line="240" w:lineRule="auto"/>
        <w:rPr>
          <w:b/>
          <w:u w:val="single"/>
        </w:rPr>
      </w:pPr>
    </w:p>
    <w:p w14:paraId="4A68FCC5" w14:textId="6AD10FD7" w:rsidR="001168A2" w:rsidRPr="004140E8" w:rsidRDefault="001168A2" w:rsidP="001168A2">
      <w:pPr>
        <w:spacing w:after="0" w:line="240" w:lineRule="auto"/>
      </w:pPr>
    </w:p>
    <w:sectPr w:rsidR="001168A2" w:rsidRPr="004140E8" w:rsidSect="00CA09BE">
      <w:headerReference w:type="even" r:id="rId8"/>
      <w:headerReference w:type="default" r:id="rId9"/>
      <w:footerReference w:type="even" r:id="rId10"/>
      <w:footerReference w:type="default" r:id="rId11"/>
      <w:headerReference w:type="first" r:id="rId12"/>
      <w:footerReference w:type="first" r:id="rId13"/>
      <w:pgSz w:w="11906" w:h="16838"/>
      <w:pgMar w:top="1134" w:right="1191" w:bottom="1134" w:left="119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9842B" w14:textId="77777777" w:rsidR="006D6AC7" w:rsidRDefault="006D6AC7" w:rsidP="00CE392C">
      <w:pPr>
        <w:spacing w:after="0" w:line="240" w:lineRule="auto"/>
      </w:pPr>
      <w:r>
        <w:separator/>
      </w:r>
    </w:p>
  </w:endnote>
  <w:endnote w:type="continuationSeparator" w:id="0">
    <w:p w14:paraId="3225E1E0" w14:textId="77777777" w:rsidR="006D6AC7" w:rsidRDefault="006D6AC7" w:rsidP="00CE3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A4F2D" w14:textId="77777777" w:rsidR="002E5599" w:rsidRDefault="002E55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8D679" w14:textId="77777777" w:rsidR="0022608E" w:rsidRPr="00327D9A" w:rsidRDefault="0022608E">
    <w:pPr>
      <w:pStyle w:val="Footer"/>
      <w:jc w:val="center"/>
      <w:rPr>
        <w:sz w:val="18"/>
        <w:szCs w:val="18"/>
      </w:rPr>
    </w:pPr>
    <w:r w:rsidRPr="00327D9A">
      <w:rPr>
        <w:sz w:val="18"/>
        <w:szCs w:val="18"/>
      </w:rPr>
      <w:t xml:space="preserve">Page </w:t>
    </w:r>
    <w:r w:rsidR="00CD2103" w:rsidRPr="00327D9A">
      <w:rPr>
        <w:sz w:val="18"/>
        <w:szCs w:val="18"/>
      </w:rPr>
      <w:fldChar w:fldCharType="begin"/>
    </w:r>
    <w:r w:rsidRPr="00327D9A">
      <w:rPr>
        <w:sz w:val="18"/>
        <w:szCs w:val="18"/>
      </w:rPr>
      <w:instrText xml:space="preserve"> PAGE   \* MERGEFORMAT </w:instrText>
    </w:r>
    <w:r w:rsidR="00CD2103" w:rsidRPr="00327D9A">
      <w:rPr>
        <w:sz w:val="18"/>
        <w:szCs w:val="18"/>
      </w:rPr>
      <w:fldChar w:fldCharType="separate"/>
    </w:r>
    <w:r w:rsidR="00D63CC1">
      <w:rPr>
        <w:noProof/>
        <w:sz w:val="18"/>
        <w:szCs w:val="18"/>
      </w:rPr>
      <w:t>1</w:t>
    </w:r>
    <w:r w:rsidR="00CD2103" w:rsidRPr="00327D9A">
      <w:rPr>
        <w:sz w:val="18"/>
        <w:szCs w:val="18"/>
      </w:rPr>
      <w:fldChar w:fldCharType="end"/>
    </w:r>
  </w:p>
  <w:p w14:paraId="3D78B48D" w14:textId="77777777" w:rsidR="0022608E" w:rsidRDefault="002260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A2E6A" w14:textId="77777777" w:rsidR="002E5599" w:rsidRDefault="002E5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BC75F" w14:textId="77777777" w:rsidR="006D6AC7" w:rsidRDefault="006D6AC7" w:rsidP="00CE392C">
      <w:pPr>
        <w:spacing w:after="0" w:line="240" w:lineRule="auto"/>
      </w:pPr>
      <w:r>
        <w:separator/>
      </w:r>
    </w:p>
  </w:footnote>
  <w:footnote w:type="continuationSeparator" w:id="0">
    <w:p w14:paraId="2BD6546C" w14:textId="77777777" w:rsidR="006D6AC7" w:rsidRDefault="006D6AC7" w:rsidP="00CE3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394C9" w14:textId="77777777" w:rsidR="002E5599" w:rsidRDefault="002E55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13F18" w14:textId="77777777" w:rsidR="0022608E" w:rsidRDefault="0022608E" w:rsidP="007779F1">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D15B3" w14:textId="77777777" w:rsidR="002E5599" w:rsidRDefault="002E55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614F"/>
    <w:multiLevelType w:val="hybridMultilevel"/>
    <w:tmpl w:val="E81E642C"/>
    <w:lvl w:ilvl="0" w:tplc="285A6098">
      <w:start w:val="1"/>
      <w:numFmt w:val="decimal"/>
      <w:lvlText w:val="4.%1"/>
      <w:lvlJc w:val="left"/>
      <w:pPr>
        <w:tabs>
          <w:tab w:val="num" w:pos="454"/>
        </w:tabs>
        <w:ind w:left="454" w:hanging="454"/>
      </w:pPr>
      <w:rPr>
        <w:rFonts w:ascii="Arial" w:hAnsi="Arial" w:cs="Times New Roman" w:hint="default"/>
        <w:sz w:val="22"/>
      </w:rPr>
    </w:lvl>
    <w:lvl w:ilvl="1" w:tplc="1D56EF8C">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sz w:val="22"/>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91A4880"/>
    <w:multiLevelType w:val="hybridMultilevel"/>
    <w:tmpl w:val="445017EC"/>
    <w:lvl w:ilvl="0" w:tplc="08090001">
      <w:start w:val="1"/>
      <w:numFmt w:val="bullet"/>
      <w:lvlText w:val=""/>
      <w:lvlJc w:val="left"/>
      <w:pPr>
        <w:ind w:left="458" w:hanging="360"/>
      </w:pPr>
      <w:rPr>
        <w:rFonts w:ascii="Symbol" w:hAnsi="Symbol" w:hint="default"/>
      </w:rPr>
    </w:lvl>
    <w:lvl w:ilvl="1" w:tplc="08090003">
      <w:start w:val="1"/>
      <w:numFmt w:val="bullet"/>
      <w:lvlText w:val="o"/>
      <w:lvlJc w:val="left"/>
      <w:pPr>
        <w:ind w:left="1178" w:hanging="360"/>
      </w:pPr>
      <w:rPr>
        <w:rFonts w:ascii="Courier New" w:hAnsi="Courier New" w:cs="Courier New" w:hint="default"/>
      </w:rPr>
    </w:lvl>
    <w:lvl w:ilvl="2" w:tplc="08090005">
      <w:start w:val="1"/>
      <w:numFmt w:val="bullet"/>
      <w:lvlText w:val=""/>
      <w:lvlJc w:val="left"/>
      <w:pPr>
        <w:ind w:left="1898" w:hanging="360"/>
      </w:pPr>
      <w:rPr>
        <w:rFonts w:ascii="Wingdings" w:hAnsi="Wingdings" w:hint="default"/>
      </w:rPr>
    </w:lvl>
    <w:lvl w:ilvl="3" w:tplc="08090001">
      <w:start w:val="1"/>
      <w:numFmt w:val="bullet"/>
      <w:lvlText w:val=""/>
      <w:lvlJc w:val="left"/>
      <w:pPr>
        <w:ind w:left="2618" w:hanging="360"/>
      </w:pPr>
      <w:rPr>
        <w:rFonts w:ascii="Symbol" w:hAnsi="Symbol" w:hint="default"/>
      </w:rPr>
    </w:lvl>
    <w:lvl w:ilvl="4" w:tplc="08090003">
      <w:start w:val="1"/>
      <w:numFmt w:val="bullet"/>
      <w:lvlText w:val="o"/>
      <w:lvlJc w:val="left"/>
      <w:pPr>
        <w:ind w:left="3338" w:hanging="360"/>
      </w:pPr>
      <w:rPr>
        <w:rFonts w:ascii="Courier New" w:hAnsi="Courier New" w:cs="Courier New" w:hint="default"/>
      </w:rPr>
    </w:lvl>
    <w:lvl w:ilvl="5" w:tplc="08090005">
      <w:start w:val="1"/>
      <w:numFmt w:val="bullet"/>
      <w:lvlText w:val=""/>
      <w:lvlJc w:val="left"/>
      <w:pPr>
        <w:ind w:left="4058" w:hanging="360"/>
      </w:pPr>
      <w:rPr>
        <w:rFonts w:ascii="Wingdings" w:hAnsi="Wingdings" w:hint="default"/>
      </w:rPr>
    </w:lvl>
    <w:lvl w:ilvl="6" w:tplc="08090001">
      <w:start w:val="1"/>
      <w:numFmt w:val="bullet"/>
      <w:lvlText w:val=""/>
      <w:lvlJc w:val="left"/>
      <w:pPr>
        <w:ind w:left="4778" w:hanging="360"/>
      </w:pPr>
      <w:rPr>
        <w:rFonts w:ascii="Symbol" w:hAnsi="Symbol" w:hint="default"/>
      </w:rPr>
    </w:lvl>
    <w:lvl w:ilvl="7" w:tplc="08090003">
      <w:start w:val="1"/>
      <w:numFmt w:val="bullet"/>
      <w:lvlText w:val="o"/>
      <w:lvlJc w:val="left"/>
      <w:pPr>
        <w:ind w:left="5498" w:hanging="360"/>
      </w:pPr>
      <w:rPr>
        <w:rFonts w:ascii="Courier New" w:hAnsi="Courier New" w:cs="Courier New" w:hint="default"/>
      </w:rPr>
    </w:lvl>
    <w:lvl w:ilvl="8" w:tplc="08090005">
      <w:start w:val="1"/>
      <w:numFmt w:val="bullet"/>
      <w:lvlText w:val=""/>
      <w:lvlJc w:val="left"/>
      <w:pPr>
        <w:ind w:left="6218" w:hanging="360"/>
      </w:pPr>
      <w:rPr>
        <w:rFonts w:ascii="Wingdings" w:hAnsi="Wingdings" w:hint="default"/>
      </w:rPr>
    </w:lvl>
  </w:abstractNum>
  <w:abstractNum w:abstractNumId="2">
    <w:nsid w:val="131716A4"/>
    <w:multiLevelType w:val="hybridMultilevel"/>
    <w:tmpl w:val="87122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E77759"/>
    <w:multiLevelType w:val="hybridMultilevel"/>
    <w:tmpl w:val="DACEC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8D14B3"/>
    <w:multiLevelType w:val="hybridMultilevel"/>
    <w:tmpl w:val="8DEA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3409C3"/>
    <w:multiLevelType w:val="hybridMultilevel"/>
    <w:tmpl w:val="7C0C6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C66F2F"/>
    <w:multiLevelType w:val="hybridMultilevel"/>
    <w:tmpl w:val="47F4DEFE"/>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7">
    <w:nsid w:val="2C9D39F9"/>
    <w:multiLevelType w:val="hybridMultilevel"/>
    <w:tmpl w:val="CB9E0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BC6742"/>
    <w:multiLevelType w:val="hybridMultilevel"/>
    <w:tmpl w:val="28C43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CA2458"/>
    <w:multiLevelType w:val="hybridMultilevel"/>
    <w:tmpl w:val="D7AED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E354A3"/>
    <w:multiLevelType w:val="hybridMultilevel"/>
    <w:tmpl w:val="844CE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9216E6"/>
    <w:multiLevelType w:val="hybridMultilevel"/>
    <w:tmpl w:val="7B70E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5A4C87"/>
    <w:multiLevelType w:val="hybridMultilevel"/>
    <w:tmpl w:val="7B6E9BEE"/>
    <w:lvl w:ilvl="0" w:tplc="04090001">
      <w:start w:val="1"/>
      <w:numFmt w:val="bullet"/>
      <w:lvlText w:val=""/>
      <w:lvlJc w:val="left"/>
      <w:pPr>
        <w:ind w:left="1174" w:hanging="360"/>
      </w:pPr>
      <w:rPr>
        <w:rFonts w:ascii="Symbol" w:hAnsi="Symbol"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hint="default"/>
      </w:rPr>
    </w:lvl>
  </w:abstractNum>
  <w:abstractNum w:abstractNumId="13">
    <w:nsid w:val="44AA6202"/>
    <w:multiLevelType w:val="hybridMultilevel"/>
    <w:tmpl w:val="47A28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8E1135"/>
    <w:multiLevelType w:val="hybridMultilevel"/>
    <w:tmpl w:val="876A6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FA3429"/>
    <w:multiLevelType w:val="hybridMultilevel"/>
    <w:tmpl w:val="99C4A4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860371"/>
    <w:multiLevelType w:val="hybridMultilevel"/>
    <w:tmpl w:val="500C5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223EE6"/>
    <w:multiLevelType w:val="hybridMultilevel"/>
    <w:tmpl w:val="993A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967C6F"/>
    <w:multiLevelType w:val="multilevel"/>
    <w:tmpl w:val="E7427F0C"/>
    <w:lvl w:ilvl="0">
      <w:start w:val="1"/>
      <w:numFmt w:val="decimal"/>
      <w:lvlText w:val="%1."/>
      <w:lvlJc w:val="left"/>
      <w:pPr>
        <w:tabs>
          <w:tab w:val="num" w:pos="-2448"/>
        </w:tabs>
        <w:ind w:left="-2448" w:hanging="360"/>
      </w:pPr>
    </w:lvl>
    <w:lvl w:ilvl="1">
      <w:start w:val="1"/>
      <w:numFmt w:val="decimal"/>
      <w:lvlText w:val="%2."/>
      <w:lvlJc w:val="left"/>
      <w:pPr>
        <w:tabs>
          <w:tab w:val="num" w:pos="-1728"/>
        </w:tabs>
        <w:ind w:left="-1728" w:hanging="360"/>
      </w:pPr>
    </w:lvl>
    <w:lvl w:ilvl="2">
      <w:start w:val="1"/>
      <w:numFmt w:val="decimal"/>
      <w:lvlText w:val="%3."/>
      <w:lvlJc w:val="left"/>
      <w:pPr>
        <w:tabs>
          <w:tab w:val="num" w:pos="-1008"/>
        </w:tabs>
        <w:ind w:left="-1008" w:hanging="360"/>
      </w:pPr>
    </w:lvl>
    <w:lvl w:ilvl="3">
      <w:start w:val="1"/>
      <w:numFmt w:val="decimal"/>
      <w:lvlText w:val="%4."/>
      <w:lvlJc w:val="left"/>
      <w:pPr>
        <w:tabs>
          <w:tab w:val="num" w:pos="-288"/>
        </w:tabs>
        <w:ind w:left="-288" w:hanging="360"/>
      </w:pPr>
    </w:lvl>
    <w:lvl w:ilvl="4">
      <w:start w:val="1"/>
      <w:numFmt w:val="decimal"/>
      <w:lvlText w:val="%5."/>
      <w:lvlJc w:val="left"/>
      <w:pPr>
        <w:tabs>
          <w:tab w:val="num" w:pos="432"/>
        </w:tabs>
        <w:ind w:left="432" w:hanging="360"/>
      </w:pPr>
    </w:lvl>
    <w:lvl w:ilvl="5">
      <w:start w:val="1"/>
      <w:numFmt w:val="decimal"/>
      <w:lvlText w:val="%6."/>
      <w:lvlJc w:val="left"/>
      <w:pPr>
        <w:tabs>
          <w:tab w:val="num" w:pos="1152"/>
        </w:tabs>
        <w:ind w:left="1152" w:hanging="360"/>
      </w:pPr>
    </w:lvl>
    <w:lvl w:ilvl="6">
      <w:start w:val="1"/>
      <w:numFmt w:val="decimal"/>
      <w:lvlText w:val="%7."/>
      <w:lvlJc w:val="left"/>
      <w:pPr>
        <w:tabs>
          <w:tab w:val="num" w:pos="1872"/>
        </w:tabs>
        <w:ind w:left="1872" w:hanging="360"/>
      </w:pPr>
    </w:lvl>
    <w:lvl w:ilvl="7">
      <w:start w:val="1"/>
      <w:numFmt w:val="decimal"/>
      <w:lvlText w:val="%8."/>
      <w:lvlJc w:val="left"/>
      <w:pPr>
        <w:tabs>
          <w:tab w:val="num" w:pos="2592"/>
        </w:tabs>
        <w:ind w:left="2592" w:hanging="360"/>
      </w:pPr>
    </w:lvl>
    <w:lvl w:ilvl="8">
      <w:start w:val="1"/>
      <w:numFmt w:val="decimal"/>
      <w:lvlText w:val="%9."/>
      <w:lvlJc w:val="left"/>
      <w:pPr>
        <w:tabs>
          <w:tab w:val="num" w:pos="3312"/>
        </w:tabs>
        <w:ind w:left="3312" w:hanging="360"/>
      </w:pPr>
    </w:lvl>
  </w:abstractNum>
  <w:abstractNum w:abstractNumId="19">
    <w:nsid w:val="5A506925"/>
    <w:multiLevelType w:val="hybridMultilevel"/>
    <w:tmpl w:val="FBFA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8F0C3D"/>
    <w:multiLevelType w:val="hybridMultilevel"/>
    <w:tmpl w:val="63D4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611615"/>
    <w:multiLevelType w:val="hybridMultilevel"/>
    <w:tmpl w:val="D6D89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1127E25"/>
    <w:multiLevelType w:val="hybridMultilevel"/>
    <w:tmpl w:val="4C863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9940269"/>
    <w:multiLevelType w:val="hybridMultilevel"/>
    <w:tmpl w:val="51EA0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9F90AB8"/>
    <w:multiLevelType w:val="hybridMultilevel"/>
    <w:tmpl w:val="BAA00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5"/>
  </w:num>
  <w:num w:numId="4">
    <w:abstractNumId w:val="20"/>
  </w:num>
  <w:num w:numId="5">
    <w:abstractNumId w:val="5"/>
  </w:num>
  <w:num w:numId="6">
    <w:abstractNumId w:val="23"/>
  </w:num>
  <w:num w:numId="7">
    <w:abstractNumId w:val="24"/>
  </w:num>
  <w:num w:numId="8">
    <w:abstractNumId w:val="10"/>
  </w:num>
  <w:num w:numId="9">
    <w:abstractNumId w:val="11"/>
  </w:num>
  <w:num w:numId="10">
    <w:abstractNumId w:val="16"/>
  </w:num>
  <w:num w:numId="11">
    <w:abstractNumId w:val="6"/>
  </w:num>
  <w:num w:numId="12">
    <w:abstractNumId w:val="4"/>
  </w:num>
  <w:num w:numId="13">
    <w:abstractNumId w:val="2"/>
  </w:num>
  <w:num w:numId="14">
    <w:abstractNumId w:val="3"/>
  </w:num>
  <w:num w:numId="15">
    <w:abstractNumId w:val="17"/>
  </w:num>
  <w:num w:numId="16">
    <w:abstractNumId w:val="22"/>
  </w:num>
  <w:num w:numId="17">
    <w:abstractNumId w:val="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8"/>
  </w:num>
  <w:num w:numId="21">
    <w:abstractNumId w:val="1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25"/>
    <w:rsid w:val="000108EB"/>
    <w:rsid w:val="00025BFB"/>
    <w:rsid w:val="000C4BBA"/>
    <w:rsid w:val="000D18AD"/>
    <w:rsid w:val="00103279"/>
    <w:rsid w:val="0011296C"/>
    <w:rsid w:val="001147BF"/>
    <w:rsid w:val="00114A5F"/>
    <w:rsid w:val="001168A2"/>
    <w:rsid w:val="0011789D"/>
    <w:rsid w:val="00131794"/>
    <w:rsid w:val="00134F07"/>
    <w:rsid w:val="001555B0"/>
    <w:rsid w:val="0017070D"/>
    <w:rsid w:val="0017770F"/>
    <w:rsid w:val="001B4D52"/>
    <w:rsid w:val="00215532"/>
    <w:rsid w:val="0022608E"/>
    <w:rsid w:val="0023079A"/>
    <w:rsid w:val="0025091D"/>
    <w:rsid w:val="00252792"/>
    <w:rsid w:val="002600C0"/>
    <w:rsid w:val="00276559"/>
    <w:rsid w:val="002813A1"/>
    <w:rsid w:val="00283227"/>
    <w:rsid w:val="002858EC"/>
    <w:rsid w:val="00295DBE"/>
    <w:rsid w:val="002E5599"/>
    <w:rsid w:val="002E5DB9"/>
    <w:rsid w:val="00302DF4"/>
    <w:rsid w:val="00304673"/>
    <w:rsid w:val="00307179"/>
    <w:rsid w:val="003104A8"/>
    <w:rsid w:val="00321ECF"/>
    <w:rsid w:val="00326704"/>
    <w:rsid w:val="00327D9A"/>
    <w:rsid w:val="0035276A"/>
    <w:rsid w:val="003764DE"/>
    <w:rsid w:val="00380F81"/>
    <w:rsid w:val="003875AD"/>
    <w:rsid w:val="00396777"/>
    <w:rsid w:val="00397794"/>
    <w:rsid w:val="003A3EF9"/>
    <w:rsid w:val="003B18B4"/>
    <w:rsid w:val="003B4A75"/>
    <w:rsid w:val="003C0D2F"/>
    <w:rsid w:val="003C4710"/>
    <w:rsid w:val="003E04E7"/>
    <w:rsid w:val="003E5C71"/>
    <w:rsid w:val="003E7425"/>
    <w:rsid w:val="004045AD"/>
    <w:rsid w:val="004140E8"/>
    <w:rsid w:val="00415A7B"/>
    <w:rsid w:val="00420C6B"/>
    <w:rsid w:val="0042363F"/>
    <w:rsid w:val="00423FA4"/>
    <w:rsid w:val="00430B2C"/>
    <w:rsid w:val="00444DC0"/>
    <w:rsid w:val="00456AE9"/>
    <w:rsid w:val="004828E0"/>
    <w:rsid w:val="0048505A"/>
    <w:rsid w:val="00486544"/>
    <w:rsid w:val="004A3B03"/>
    <w:rsid w:val="004B2CD8"/>
    <w:rsid w:val="004C02E8"/>
    <w:rsid w:val="004C3796"/>
    <w:rsid w:val="004C6836"/>
    <w:rsid w:val="0050055B"/>
    <w:rsid w:val="005143FC"/>
    <w:rsid w:val="00535DF6"/>
    <w:rsid w:val="005360E0"/>
    <w:rsid w:val="00536A0D"/>
    <w:rsid w:val="00537F6F"/>
    <w:rsid w:val="005426EB"/>
    <w:rsid w:val="00546012"/>
    <w:rsid w:val="00573C89"/>
    <w:rsid w:val="00593F3D"/>
    <w:rsid w:val="00597CE1"/>
    <w:rsid w:val="005B5FFD"/>
    <w:rsid w:val="005E420C"/>
    <w:rsid w:val="00600169"/>
    <w:rsid w:val="006023A0"/>
    <w:rsid w:val="006023D7"/>
    <w:rsid w:val="00606B62"/>
    <w:rsid w:val="00625683"/>
    <w:rsid w:val="00631758"/>
    <w:rsid w:val="006436B8"/>
    <w:rsid w:val="00651183"/>
    <w:rsid w:val="006561E5"/>
    <w:rsid w:val="00671E41"/>
    <w:rsid w:val="00676E9D"/>
    <w:rsid w:val="006876D9"/>
    <w:rsid w:val="00691374"/>
    <w:rsid w:val="006913B3"/>
    <w:rsid w:val="00696DAA"/>
    <w:rsid w:val="006A1719"/>
    <w:rsid w:val="006D6AC7"/>
    <w:rsid w:val="006E10F0"/>
    <w:rsid w:val="006F32B3"/>
    <w:rsid w:val="00700747"/>
    <w:rsid w:val="00710C69"/>
    <w:rsid w:val="00722A31"/>
    <w:rsid w:val="007233C7"/>
    <w:rsid w:val="007779F1"/>
    <w:rsid w:val="00797926"/>
    <w:rsid w:val="007B74EA"/>
    <w:rsid w:val="007C7ACE"/>
    <w:rsid w:val="007D7D8E"/>
    <w:rsid w:val="007E28AF"/>
    <w:rsid w:val="007E637C"/>
    <w:rsid w:val="007E74CA"/>
    <w:rsid w:val="007F064B"/>
    <w:rsid w:val="00802636"/>
    <w:rsid w:val="00802A86"/>
    <w:rsid w:val="0080418D"/>
    <w:rsid w:val="008042FF"/>
    <w:rsid w:val="00806BC7"/>
    <w:rsid w:val="00844DFE"/>
    <w:rsid w:val="0085591F"/>
    <w:rsid w:val="00880452"/>
    <w:rsid w:val="008860D3"/>
    <w:rsid w:val="008B348D"/>
    <w:rsid w:val="008C3525"/>
    <w:rsid w:val="008D2F59"/>
    <w:rsid w:val="008E6913"/>
    <w:rsid w:val="008E7017"/>
    <w:rsid w:val="008F2399"/>
    <w:rsid w:val="00911B6E"/>
    <w:rsid w:val="00931A6B"/>
    <w:rsid w:val="009369D9"/>
    <w:rsid w:val="0094640D"/>
    <w:rsid w:val="009503FA"/>
    <w:rsid w:val="00957BC0"/>
    <w:rsid w:val="009600A6"/>
    <w:rsid w:val="00983059"/>
    <w:rsid w:val="00992DF7"/>
    <w:rsid w:val="009B0DAF"/>
    <w:rsid w:val="009B214A"/>
    <w:rsid w:val="009B27BB"/>
    <w:rsid w:val="009B42C7"/>
    <w:rsid w:val="009C6B6A"/>
    <w:rsid w:val="009D5B22"/>
    <w:rsid w:val="009D630D"/>
    <w:rsid w:val="00A02182"/>
    <w:rsid w:val="00A15B0B"/>
    <w:rsid w:val="00A2047C"/>
    <w:rsid w:val="00A579FF"/>
    <w:rsid w:val="00A81E09"/>
    <w:rsid w:val="00AA48FD"/>
    <w:rsid w:val="00AB2F6E"/>
    <w:rsid w:val="00AB394E"/>
    <w:rsid w:val="00AD3F66"/>
    <w:rsid w:val="00B17E65"/>
    <w:rsid w:val="00B50A9F"/>
    <w:rsid w:val="00B51869"/>
    <w:rsid w:val="00B900BE"/>
    <w:rsid w:val="00B95707"/>
    <w:rsid w:val="00BA6858"/>
    <w:rsid w:val="00BA7E97"/>
    <w:rsid w:val="00BB1705"/>
    <w:rsid w:val="00BD409F"/>
    <w:rsid w:val="00BD46B6"/>
    <w:rsid w:val="00BE5028"/>
    <w:rsid w:val="00BF0A86"/>
    <w:rsid w:val="00C00891"/>
    <w:rsid w:val="00C128EA"/>
    <w:rsid w:val="00C154F3"/>
    <w:rsid w:val="00C242DC"/>
    <w:rsid w:val="00C329F1"/>
    <w:rsid w:val="00C52DDE"/>
    <w:rsid w:val="00C53C50"/>
    <w:rsid w:val="00C756C3"/>
    <w:rsid w:val="00C80E47"/>
    <w:rsid w:val="00C81766"/>
    <w:rsid w:val="00C92D9D"/>
    <w:rsid w:val="00CA09BE"/>
    <w:rsid w:val="00CC6CA9"/>
    <w:rsid w:val="00CD2103"/>
    <w:rsid w:val="00CD5C89"/>
    <w:rsid w:val="00CE392C"/>
    <w:rsid w:val="00CE39D1"/>
    <w:rsid w:val="00CE7996"/>
    <w:rsid w:val="00CF1070"/>
    <w:rsid w:val="00D047FD"/>
    <w:rsid w:val="00D04F6F"/>
    <w:rsid w:val="00D51D23"/>
    <w:rsid w:val="00D63CC1"/>
    <w:rsid w:val="00D64262"/>
    <w:rsid w:val="00D73EA7"/>
    <w:rsid w:val="00DB5F11"/>
    <w:rsid w:val="00DC3636"/>
    <w:rsid w:val="00DC4CC3"/>
    <w:rsid w:val="00DD363B"/>
    <w:rsid w:val="00DD4301"/>
    <w:rsid w:val="00E013B8"/>
    <w:rsid w:val="00E021F5"/>
    <w:rsid w:val="00E21EAF"/>
    <w:rsid w:val="00E25130"/>
    <w:rsid w:val="00E31635"/>
    <w:rsid w:val="00E40640"/>
    <w:rsid w:val="00E52A1B"/>
    <w:rsid w:val="00E554DF"/>
    <w:rsid w:val="00E851D5"/>
    <w:rsid w:val="00E8676B"/>
    <w:rsid w:val="00EC55E7"/>
    <w:rsid w:val="00EF1252"/>
    <w:rsid w:val="00F10440"/>
    <w:rsid w:val="00F22602"/>
    <w:rsid w:val="00F56257"/>
    <w:rsid w:val="00F56FE3"/>
    <w:rsid w:val="00F57DC3"/>
    <w:rsid w:val="00F60D5B"/>
    <w:rsid w:val="00F619E1"/>
    <w:rsid w:val="00F90651"/>
    <w:rsid w:val="00F91978"/>
    <w:rsid w:val="00FA6F88"/>
    <w:rsid w:val="00FB1686"/>
    <w:rsid w:val="00FD420B"/>
    <w:rsid w:val="00FD7CC8"/>
    <w:rsid w:val="00FD7F4E"/>
    <w:rsid w:val="00FE6C49"/>
    <w:rsid w:val="00FE7A57"/>
    <w:rsid w:val="00FF4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4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02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1686"/>
    <w:rPr>
      <w:color w:val="0000FF"/>
      <w:u w:val="single"/>
    </w:rPr>
  </w:style>
  <w:style w:type="paragraph" w:styleId="ListParagraph">
    <w:name w:val="List Paragraph"/>
    <w:basedOn w:val="Normal"/>
    <w:uiPriority w:val="34"/>
    <w:qFormat/>
    <w:rsid w:val="003764DE"/>
    <w:pPr>
      <w:ind w:left="720"/>
      <w:contextualSpacing/>
    </w:pPr>
  </w:style>
  <w:style w:type="paragraph" w:styleId="Header">
    <w:name w:val="header"/>
    <w:basedOn w:val="Normal"/>
    <w:link w:val="HeaderChar"/>
    <w:uiPriority w:val="99"/>
    <w:unhideWhenUsed/>
    <w:rsid w:val="00CE392C"/>
    <w:pPr>
      <w:tabs>
        <w:tab w:val="center" w:pos="4513"/>
        <w:tab w:val="right" w:pos="9026"/>
      </w:tabs>
    </w:pPr>
  </w:style>
  <w:style w:type="character" w:customStyle="1" w:styleId="HeaderChar">
    <w:name w:val="Header Char"/>
    <w:link w:val="Header"/>
    <w:uiPriority w:val="99"/>
    <w:rsid w:val="00CE392C"/>
    <w:rPr>
      <w:sz w:val="22"/>
      <w:szCs w:val="22"/>
      <w:lang w:eastAsia="en-US"/>
    </w:rPr>
  </w:style>
  <w:style w:type="paragraph" w:styleId="Footer">
    <w:name w:val="footer"/>
    <w:basedOn w:val="Normal"/>
    <w:link w:val="FooterChar"/>
    <w:uiPriority w:val="99"/>
    <w:unhideWhenUsed/>
    <w:rsid w:val="00CE392C"/>
    <w:pPr>
      <w:tabs>
        <w:tab w:val="center" w:pos="4513"/>
        <w:tab w:val="right" w:pos="9026"/>
      </w:tabs>
    </w:pPr>
  </w:style>
  <w:style w:type="character" w:customStyle="1" w:styleId="FooterChar">
    <w:name w:val="Footer Char"/>
    <w:link w:val="Footer"/>
    <w:uiPriority w:val="99"/>
    <w:rsid w:val="00CE392C"/>
    <w:rPr>
      <w:sz w:val="22"/>
      <w:szCs w:val="22"/>
      <w:lang w:eastAsia="en-US"/>
    </w:rPr>
  </w:style>
  <w:style w:type="paragraph" w:styleId="BalloonText">
    <w:name w:val="Balloon Text"/>
    <w:basedOn w:val="Normal"/>
    <w:link w:val="BalloonTextChar"/>
    <w:uiPriority w:val="99"/>
    <w:semiHidden/>
    <w:unhideWhenUsed/>
    <w:rsid w:val="00CE392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E392C"/>
    <w:rPr>
      <w:rFonts w:ascii="Tahoma" w:hAnsi="Tahoma" w:cs="Tahoma"/>
      <w:sz w:val="16"/>
      <w:szCs w:val="16"/>
      <w:lang w:eastAsia="en-US"/>
    </w:rPr>
  </w:style>
  <w:style w:type="table" w:styleId="TableGrid">
    <w:name w:val="Table Grid"/>
    <w:basedOn w:val="TableNormal"/>
    <w:uiPriority w:val="59"/>
    <w:rsid w:val="008E6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07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02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1686"/>
    <w:rPr>
      <w:color w:val="0000FF"/>
      <w:u w:val="single"/>
    </w:rPr>
  </w:style>
  <w:style w:type="paragraph" w:styleId="ListParagraph">
    <w:name w:val="List Paragraph"/>
    <w:basedOn w:val="Normal"/>
    <w:uiPriority w:val="34"/>
    <w:qFormat/>
    <w:rsid w:val="003764DE"/>
    <w:pPr>
      <w:ind w:left="720"/>
      <w:contextualSpacing/>
    </w:pPr>
  </w:style>
  <w:style w:type="paragraph" w:styleId="Header">
    <w:name w:val="header"/>
    <w:basedOn w:val="Normal"/>
    <w:link w:val="HeaderChar"/>
    <w:uiPriority w:val="99"/>
    <w:unhideWhenUsed/>
    <w:rsid w:val="00CE392C"/>
    <w:pPr>
      <w:tabs>
        <w:tab w:val="center" w:pos="4513"/>
        <w:tab w:val="right" w:pos="9026"/>
      </w:tabs>
    </w:pPr>
  </w:style>
  <w:style w:type="character" w:customStyle="1" w:styleId="HeaderChar">
    <w:name w:val="Header Char"/>
    <w:link w:val="Header"/>
    <w:uiPriority w:val="99"/>
    <w:rsid w:val="00CE392C"/>
    <w:rPr>
      <w:sz w:val="22"/>
      <w:szCs w:val="22"/>
      <w:lang w:eastAsia="en-US"/>
    </w:rPr>
  </w:style>
  <w:style w:type="paragraph" w:styleId="Footer">
    <w:name w:val="footer"/>
    <w:basedOn w:val="Normal"/>
    <w:link w:val="FooterChar"/>
    <w:uiPriority w:val="99"/>
    <w:unhideWhenUsed/>
    <w:rsid w:val="00CE392C"/>
    <w:pPr>
      <w:tabs>
        <w:tab w:val="center" w:pos="4513"/>
        <w:tab w:val="right" w:pos="9026"/>
      </w:tabs>
    </w:pPr>
  </w:style>
  <w:style w:type="character" w:customStyle="1" w:styleId="FooterChar">
    <w:name w:val="Footer Char"/>
    <w:link w:val="Footer"/>
    <w:uiPriority w:val="99"/>
    <w:rsid w:val="00CE392C"/>
    <w:rPr>
      <w:sz w:val="22"/>
      <w:szCs w:val="22"/>
      <w:lang w:eastAsia="en-US"/>
    </w:rPr>
  </w:style>
  <w:style w:type="paragraph" w:styleId="BalloonText">
    <w:name w:val="Balloon Text"/>
    <w:basedOn w:val="Normal"/>
    <w:link w:val="BalloonTextChar"/>
    <w:uiPriority w:val="99"/>
    <w:semiHidden/>
    <w:unhideWhenUsed/>
    <w:rsid w:val="00CE392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E392C"/>
    <w:rPr>
      <w:rFonts w:ascii="Tahoma" w:hAnsi="Tahoma" w:cs="Tahoma"/>
      <w:sz w:val="16"/>
      <w:szCs w:val="16"/>
      <w:lang w:eastAsia="en-US"/>
    </w:rPr>
  </w:style>
  <w:style w:type="table" w:styleId="TableGrid">
    <w:name w:val="Table Grid"/>
    <w:basedOn w:val="TableNormal"/>
    <w:uiPriority w:val="59"/>
    <w:rsid w:val="008E6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07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31262">
      <w:bodyDiv w:val="1"/>
      <w:marLeft w:val="0"/>
      <w:marRight w:val="0"/>
      <w:marTop w:val="0"/>
      <w:marBottom w:val="0"/>
      <w:divBdr>
        <w:top w:val="none" w:sz="0" w:space="0" w:color="auto"/>
        <w:left w:val="none" w:sz="0" w:space="0" w:color="auto"/>
        <w:bottom w:val="none" w:sz="0" w:space="0" w:color="auto"/>
        <w:right w:val="none" w:sz="0" w:space="0" w:color="auto"/>
      </w:divBdr>
    </w:div>
    <w:div w:id="759639177">
      <w:bodyDiv w:val="1"/>
      <w:marLeft w:val="0"/>
      <w:marRight w:val="0"/>
      <w:marTop w:val="0"/>
      <w:marBottom w:val="0"/>
      <w:divBdr>
        <w:top w:val="none" w:sz="0" w:space="0" w:color="auto"/>
        <w:left w:val="none" w:sz="0" w:space="0" w:color="auto"/>
        <w:bottom w:val="none" w:sz="0" w:space="0" w:color="auto"/>
        <w:right w:val="none" w:sz="0" w:space="0" w:color="auto"/>
      </w:divBdr>
      <w:divsChild>
        <w:div w:id="2079402638">
          <w:marLeft w:val="0"/>
          <w:marRight w:val="0"/>
          <w:marTop w:val="0"/>
          <w:marBottom w:val="0"/>
          <w:divBdr>
            <w:top w:val="none" w:sz="0" w:space="0" w:color="auto"/>
            <w:left w:val="none" w:sz="0" w:space="0" w:color="auto"/>
            <w:bottom w:val="none" w:sz="0" w:space="0" w:color="auto"/>
            <w:right w:val="none" w:sz="0" w:space="0" w:color="auto"/>
          </w:divBdr>
          <w:divsChild>
            <w:div w:id="410856915">
              <w:marLeft w:val="0"/>
              <w:marRight w:val="0"/>
              <w:marTop w:val="0"/>
              <w:marBottom w:val="0"/>
              <w:divBdr>
                <w:top w:val="none" w:sz="0" w:space="0" w:color="auto"/>
                <w:left w:val="none" w:sz="0" w:space="0" w:color="auto"/>
                <w:bottom w:val="none" w:sz="0" w:space="0" w:color="auto"/>
                <w:right w:val="none" w:sz="0" w:space="0" w:color="auto"/>
              </w:divBdr>
              <w:divsChild>
                <w:div w:id="709572923">
                  <w:marLeft w:val="0"/>
                  <w:marRight w:val="0"/>
                  <w:marTop w:val="0"/>
                  <w:marBottom w:val="0"/>
                  <w:divBdr>
                    <w:top w:val="none" w:sz="0" w:space="0" w:color="auto"/>
                    <w:left w:val="none" w:sz="0" w:space="0" w:color="auto"/>
                    <w:bottom w:val="none" w:sz="0" w:space="0" w:color="auto"/>
                    <w:right w:val="none" w:sz="0" w:space="0" w:color="auto"/>
                  </w:divBdr>
                </w:div>
                <w:div w:id="804736156">
                  <w:marLeft w:val="0"/>
                  <w:marRight w:val="0"/>
                  <w:marTop w:val="0"/>
                  <w:marBottom w:val="0"/>
                  <w:divBdr>
                    <w:top w:val="none" w:sz="0" w:space="0" w:color="auto"/>
                    <w:left w:val="none" w:sz="0" w:space="0" w:color="auto"/>
                    <w:bottom w:val="none" w:sz="0" w:space="0" w:color="auto"/>
                    <w:right w:val="none" w:sz="0" w:space="0" w:color="auto"/>
                  </w:divBdr>
                </w:div>
                <w:div w:id="1182548559">
                  <w:marLeft w:val="0"/>
                  <w:marRight w:val="0"/>
                  <w:marTop w:val="0"/>
                  <w:marBottom w:val="0"/>
                  <w:divBdr>
                    <w:top w:val="none" w:sz="0" w:space="0" w:color="auto"/>
                    <w:left w:val="none" w:sz="0" w:space="0" w:color="auto"/>
                    <w:bottom w:val="none" w:sz="0" w:space="0" w:color="auto"/>
                    <w:right w:val="none" w:sz="0" w:space="0" w:color="auto"/>
                  </w:divBdr>
                </w:div>
                <w:div w:id="1420711338">
                  <w:marLeft w:val="0"/>
                  <w:marRight w:val="0"/>
                  <w:marTop w:val="0"/>
                  <w:marBottom w:val="0"/>
                  <w:divBdr>
                    <w:top w:val="none" w:sz="0" w:space="0" w:color="auto"/>
                    <w:left w:val="none" w:sz="0" w:space="0" w:color="auto"/>
                    <w:bottom w:val="none" w:sz="0" w:space="0" w:color="auto"/>
                    <w:right w:val="none" w:sz="0" w:space="0" w:color="auto"/>
                  </w:divBdr>
                </w:div>
                <w:div w:id="1599631935">
                  <w:marLeft w:val="0"/>
                  <w:marRight w:val="0"/>
                  <w:marTop w:val="0"/>
                  <w:marBottom w:val="0"/>
                  <w:divBdr>
                    <w:top w:val="none" w:sz="0" w:space="0" w:color="auto"/>
                    <w:left w:val="none" w:sz="0" w:space="0" w:color="auto"/>
                    <w:bottom w:val="none" w:sz="0" w:space="0" w:color="auto"/>
                    <w:right w:val="none" w:sz="0" w:space="0" w:color="auto"/>
                  </w:divBdr>
                </w:div>
                <w:div w:id="1979601917">
                  <w:marLeft w:val="0"/>
                  <w:marRight w:val="0"/>
                  <w:marTop w:val="0"/>
                  <w:marBottom w:val="0"/>
                  <w:divBdr>
                    <w:top w:val="none" w:sz="0" w:space="0" w:color="auto"/>
                    <w:left w:val="none" w:sz="0" w:space="0" w:color="auto"/>
                    <w:bottom w:val="none" w:sz="0" w:space="0" w:color="auto"/>
                    <w:right w:val="none" w:sz="0" w:space="0" w:color="auto"/>
                  </w:divBdr>
                </w:div>
                <w:div w:id="205530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177416">
      <w:bodyDiv w:val="1"/>
      <w:marLeft w:val="0"/>
      <w:marRight w:val="0"/>
      <w:marTop w:val="0"/>
      <w:marBottom w:val="0"/>
      <w:divBdr>
        <w:top w:val="none" w:sz="0" w:space="0" w:color="auto"/>
        <w:left w:val="none" w:sz="0" w:space="0" w:color="auto"/>
        <w:bottom w:val="none" w:sz="0" w:space="0" w:color="auto"/>
        <w:right w:val="none" w:sz="0" w:space="0" w:color="auto"/>
      </w:divBdr>
      <w:divsChild>
        <w:div w:id="1799907821">
          <w:marLeft w:val="0"/>
          <w:marRight w:val="0"/>
          <w:marTop w:val="0"/>
          <w:marBottom w:val="0"/>
          <w:divBdr>
            <w:top w:val="none" w:sz="0" w:space="0" w:color="auto"/>
            <w:left w:val="none" w:sz="0" w:space="0" w:color="auto"/>
            <w:bottom w:val="none" w:sz="0" w:space="0" w:color="auto"/>
            <w:right w:val="none" w:sz="0" w:space="0" w:color="auto"/>
          </w:divBdr>
          <w:divsChild>
            <w:div w:id="1991904263">
              <w:marLeft w:val="0"/>
              <w:marRight w:val="0"/>
              <w:marTop w:val="0"/>
              <w:marBottom w:val="0"/>
              <w:divBdr>
                <w:top w:val="none" w:sz="0" w:space="0" w:color="auto"/>
                <w:left w:val="none" w:sz="0" w:space="0" w:color="auto"/>
                <w:bottom w:val="none" w:sz="0" w:space="0" w:color="auto"/>
                <w:right w:val="none" w:sz="0" w:space="0" w:color="auto"/>
              </w:divBdr>
              <w:divsChild>
                <w:div w:id="737554762">
                  <w:marLeft w:val="84"/>
                  <w:marRight w:val="0"/>
                  <w:marTop w:val="0"/>
                  <w:marBottom w:val="0"/>
                  <w:divBdr>
                    <w:top w:val="none" w:sz="0" w:space="0" w:color="000000"/>
                    <w:left w:val="single" w:sz="24" w:space="4" w:color="000000"/>
                    <w:bottom w:val="none" w:sz="0" w:space="0" w:color="000000"/>
                    <w:right w:val="none" w:sz="0" w:space="0" w:color="000000"/>
                  </w:divBdr>
                  <w:divsChild>
                    <w:div w:id="650335105">
                      <w:marLeft w:val="84"/>
                      <w:marRight w:val="0"/>
                      <w:marTop w:val="0"/>
                      <w:marBottom w:val="0"/>
                      <w:divBdr>
                        <w:top w:val="none" w:sz="0" w:space="0" w:color="000000"/>
                        <w:left w:val="single" w:sz="24" w:space="4" w:color="000000"/>
                        <w:bottom w:val="none" w:sz="0" w:space="0" w:color="000000"/>
                        <w:right w:val="none" w:sz="0" w:space="0" w:color="000000"/>
                      </w:divBdr>
                      <w:divsChild>
                        <w:div w:id="975448888">
                          <w:marLeft w:val="0"/>
                          <w:marRight w:val="0"/>
                          <w:marTop w:val="0"/>
                          <w:marBottom w:val="0"/>
                          <w:divBdr>
                            <w:top w:val="none" w:sz="0" w:space="0" w:color="auto"/>
                            <w:left w:val="none" w:sz="0" w:space="0" w:color="auto"/>
                            <w:bottom w:val="none" w:sz="0" w:space="0" w:color="auto"/>
                            <w:right w:val="none" w:sz="0" w:space="0" w:color="auto"/>
                          </w:divBdr>
                          <w:divsChild>
                            <w:div w:id="551379776">
                              <w:marLeft w:val="0"/>
                              <w:marRight w:val="0"/>
                              <w:marTop w:val="0"/>
                              <w:marBottom w:val="0"/>
                              <w:divBdr>
                                <w:top w:val="none" w:sz="0" w:space="0" w:color="auto"/>
                                <w:left w:val="none" w:sz="0" w:space="0" w:color="auto"/>
                                <w:bottom w:val="none" w:sz="0" w:space="0" w:color="auto"/>
                                <w:right w:val="none" w:sz="0" w:space="0" w:color="auto"/>
                              </w:divBdr>
                              <w:divsChild>
                                <w:div w:id="1825314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60266">
                                      <w:marLeft w:val="0"/>
                                      <w:marRight w:val="0"/>
                                      <w:marTop w:val="0"/>
                                      <w:marBottom w:val="0"/>
                                      <w:divBdr>
                                        <w:top w:val="none" w:sz="0" w:space="0" w:color="auto"/>
                                        <w:left w:val="none" w:sz="0" w:space="0" w:color="auto"/>
                                        <w:bottom w:val="none" w:sz="0" w:space="0" w:color="auto"/>
                                        <w:right w:val="none" w:sz="0" w:space="0" w:color="auto"/>
                                      </w:divBdr>
                                      <w:divsChild>
                                        <w:div w:id="284313505">
                                          <w:marLeft w:val="0"/>
                                          <w:marRight w:val="0"/>
                                          <w:marTop w:val="0"/>
                                          <w:marBottom w:val="0"/>
                                          <w:divBdr>
                                            <w:top w:val="none" w:sz="0" w:space="0" w:color="auto"/>
                                            <w:left w:val="none" w:sz="0" w:space="0" w:color="auto"/>
                                            <w:bottom w:val="none" w:sz="0" w:space="0" w:color="auto"/>
                                            <w:right w:val="none" w:sz="0" w:space="0" w:color="auto"/>
                                          </w:divBdr>
                                          <w:divsChild>
                                            <w:div w:id="990793477">
                                              <w:marLeft w:val="0"/>
                                              <w:marRight w:val="0"/>
                                              <w:marTop w:val="0"/>
                                              <w:marBottom w:val="0"/>
                                              <w:divBdr>
                                                <w:top w:val="none" w:sz="0" w:space="0" w:color="auto"/>
                                                <w:left w:val="none" w:sz="0" w:space="0" w:color="auto"/>
                                                <w:bottom w:val="none" w:sz="0" w:space="0" w:color="auto"/>
                                                <w:right w:val="none" w:sz="0" w:space="0" w:color="auto"/>
                                              </w:divBdr>
                                              <w:divsChild>
                                                <w:div w:id="1586069408">
                                                  <w:marLeft w:val="0"/>
                                                  <w:marRight w:val="0"/>
                                                  <w:marTop w:val="0"/>
                                                  <w:marBottom w:val="0"/>
                                                  <w:divBdr>
                                                    <w:top w:val="none" w:sz="0" w:space="0" w:color="auto"/>
                                                    <w:left w:val="none" w:sz="0" w:space="0" w:color="auto"/>
                                                    <w:bottom w:val="none" w:sz="0" w:space="0" w:color="auto"/>
                                                    <w:right w:val="none" w:sz="0" w:space="0" w:color="auto"/>
                                                  </w:divBdr>
                                                  <w:divsChild>
                                                    <w:div w:id="165101852">
                                                      <w:marLeft w:val="0"/>
                                                      <w:marRight w:val="0"/>
                                                      <w:marTop w:val="0"/>
                                                      <w:marBottom w:val="0"/>
                                                      <w:divBdr>
                                                        <w:top w:val="none" w:sz="0" w:space="0" w:color="auto"/>
                                                        <w:left w:val="none" w:sz="0" w:space="0" w:color="auto"/>
                                                        <w:bottom w:val="none" w:sz="0" w:space="0" w:color="auto"/>
                                                        <w:right w:val="none" w:sz="0" w:space="0" w:color="auto"/>
                                                      </w:divBdr>
                                                      <w:divsChild>
                                                        <w:div w:id="166990556">
                                                          <w:marLeft w:val="0"/>
                                                          <w:marRight w:val="0"/>
                                                          <w:marTop w:val="0"/>
                                                          <w:marBottom w:val="0"/>
                                                          <w:divBdr>
                                                            <w:top w:val="none" w:sz="0" w:space="0" w:color="auto"/>
                                                            <w:left w:val="none" w:sz="0" w:space="0" w:color="auto"/>
                                                            <w:bottom w:val="none" w:sz="0" w:space="0" w:color="auto"/>
                                                            <w:right w:val="none" w:sz="0" w:space="0" w:color="auto"/>
                                                          </w:divBdr>
                                                          <w:divsChild>
                                                            <w:div w:id="4878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5719829">
      <w:bodyDiv w:val="1"/>
      <w:marLeft w:val="0"/>
      <w:marRight w:val="0"/>
      <w:marTop w:val="0"/>
      <w:marBottom w:val="0"/>
      <w:divBdr>
        <w:top w:val="none" w:sz="0" w:space="0" w:color="auto"/>
        <w:left w:val="none" w:sz="0" w:space="0" w:color="auto"/>
        <w:bottom w:val="none" w:sz="0" w:space="0" w:color="auto"/>
        <w:right w:val="none" w:sz="0" w:space="0" w:color="auto"/>
      </w:divBdr>
    </w:div>
    <w:div w:id="201969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frost</dc:creator>
  <cp:lastModifiedBy>Microsoft</cp:lastModifiedBy>
  <cp:revision>2</cp:revision>
  <cp:lastPrinted>2019-08-28T10:52:00Z</cp:lastPrinted>
  <dcterms:created xsi:type="dcterms:W3CDTF">2020-01-17T17:52:00Z</dcterms:created>
  <dcterms:modified xsi:type="dcterms:W3CDTF">2020-01-17T17:52:00Z</dcterms:modified>
</cp:coreProperties>
</file>