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D0C19" w14:textId="6A121E39" w:rsidR="002F0DF6" w:rsidRDefault="00A52DD7" w:rsidP="00A52DD7">
      <w:pPr>
        <w:jc w:val="center"/>
        <w:rPr>
          <w:b/>
          <w:bCs/>
          <w:sz w:val="24"/>
          <w:szCs w:val="24"/>
        </w:rPr>
      </w:pPr>
      <w:bookmarkStart w:id="0" w:name="_GoBack"/>
      <w:bookmarkEnd w:id="0"/>
      <w:r>
        <w:rPr>
          <w:b/>
          <w:bCs/>
          <w:sz w:val="24"/>
          <w:szCs w:val="24"/>
        </w:rPr>
        <w:t>ADES Presentation</w:t>
      </w:r>
      <w:r w:rsidR="00EB64C9">
        <w:rPr>
          <w:b/>
          <w:bCs/>
          <w:sz w:val="24"/>
          <w:szCs w:val="24"/>
        </w:rPr>
        <w:t xml:space="preserve"> </w:t>
      </w:r>
      <w:r w:rsidR="00126B93">
        <w:rPr>
          <w:b/>
          <w:bCs/>
          <w:sz w:val="24"/>
          <w:szCs w:val="24"/>
        </w:rPr>
        <w:t>10 mins MAX</w:t>
      </w:r>
    </w:p>
    <w:p w14:paraId="20D599EC" w14:textId="3D7EB233" w:rsidR="00A52DD7" w:rsidRDefault="00A52DD7" w:rsidP="00A52DD7">
      <w:pPr>
        <w:jc w:val="center"/>
        <w:rPr>
          <w:b/>
          <w:bCs/>
          <w:sz w:val="24"/>
          <w:szCs w:val="24"/>
        </w:rPr>
      </w:pPr>
    </w:p>
    <w:tbl>
      <w:tblPr>
        <w:tblStyle w:val="TableGrid"/>
        <w:tblW w:w="0" w:type="auto"/>
        <w:tblLook w:val="04A0" w:firstRow="1" w:lastRow="0" w:firstColumn="1" w:lastColumn="0" w:noHBand="0" w:noVBand="1"/>
      </w:tblPr>
      <w:tblGrid>
        <w:gridCol w:w="2830"/>
        <w:gridCol w:w="8931"/>
        <w:gridCol w:w="2187"/>
      </w:tblGrid>
      <w:tr w:rsidR="00C64C3D" w14:paraId="11FF5EF3" w14:textId="77777777" w:rsidTr="64307B1C">
        <w:tc>
          <w:tcPr>
            <w:tcW w:w="2830" w:type="dxa"/>
          </w:tcPr>
          <w:p w14:paraId="61B57674" w14:textId="65012071" w:rsidR="00C64C3D" w:rsidRDefault="00C64C3D" w:rsidP="00A52DD7">
            <w:pPr>
              <w:rPr>
                <w:b/>
                <w:bCs/>
                <w:sz w:val="24"/>
                <w:szCs w:val="24"/>
              </w:rPr>
            </w:pPr>
            <w:r>
              <w:rPr>
                <w:b/>
                <w:bCs/>
                <w:sz w:val="24"/>
                <w:szCs w:val="24"/>
              </w:rPr>
              <w:t>Topic</w:t>
            </w:r>
          </w:p>
        </w:tc>
        <w:tc>
          <w:tcPr>
            <w:tcW w:w="8931" w:type="dxa"/>
          </w:tcPr>
          <w:p w14:paraId="098E3615" w14:textId="6C80EE3F" w:rsidR="00C64C3D" w:rsidRDefault="00C64C3D" w:rsidP="00A52DD7">
            <w:pPr>
              <w:rPr>
                <w:b/>
                <w:bCs/>
                <w:sz w:val="24"/>
                <w:szCs w:val="24"/>
              </w:rPr>
            </w:pPr>
            <w:r>
              <w:rPr>
                <w:b/>
                <w:bCs/>
                <w:sz w:val="24"/>
                <w:szCs w:val="24"/>
              </w:rPr>
              <w:t>Content</w:t>
            </w:r>
          </w:p>
        </w:tc>
        <w:tc>
          <w:tcPr>
            <w:tcW w:w="2187" w:type="dxa"/>
          </w:tcPr>
          <w:p w14:paraId="2FBD735C" w14:textId="4A7E2D69" w:rsidR="00C64C3D" w:rsidRDefault="00C64C3D" w:rsidP="00A52DD7">
            <w:pPr>
              <w:rPr>
                <w:b/>
                <w:bCs/>
                <w:sz w:val="24"/>
                <w:szCs w:val="24"/>
              </w:rPr>
            </w:pPr>
            <w:r>
              <w:rPr>
                <w:b/>
                <w:bCs/>
                <w:sz w:val="24"/>
                <w:szCs w:val="24"/>
              </w:rPr>
              <w:t>Who</w:t>
            </w:r>
          </w:p>
        </w:tc>
      </w:tr>
      <w:tr w:rsidR="00C64C3D" w14:paraId="5E9BFBAD" w14:textId="77777777" w:rsidTr="64307B1C">
        <w:tc>
          <w:tcPr>
            <w:tcW w:w="2830" w:type="dxa"/>
          </w:tcPr>
          <w:p w14:paraId="2B4033BD" w14:textId="7D3D76FC" w:rsidR="00126B93" w:rsidRDefault="00C64C3D" w:rsidP="00C64C3D">
            <w:pPr>
              <w:rPr>
                <w:sz w:val="24"/>
                <w:szCs w:val="24"/>
              </w:rPr>
            </w:pPr>
            <w:r w:rsidRPr="00C64C3D">
              <w:rPr>
                <w:sz w:val="24"/>
                <w:szCs w:val="24"/>
              </w:rPr>
              <w:t>Introd</w:t>
            </w:r>
            <w:r w:rsidR="00126B93">
              <w:rPr>
                <w:sz w:val="24"/>
                <w:szCs w:val="24"/>
              </w:rPr>
              <w:t>uction</w:t>
            </w:r>
          </w:p>
          <w:p w14:paraId="6F23B1FB" w14:textId="6AE6971D" w:rsidR="00C64C3D" w:rsidRPr="00C64C3D" w:rsidRDefault="00C64C3D" w:rsidP="00C64C3D">
            <w:pPr>
              <w:rPr>
                <w:sz w:val="24"/>
                <w:szCs w:val="24"/>
              </w:rPr>
            </w:pPr>
            <w:r w:rsidRPr="00C64C3D">
              <w:rPr>
                <w:sz w:val="24"/>
                <w:szCs w:val="24"/>
              </w:rPr>
              <w:t>SAPOE and AHOEC</w:t>
            </w:r>
          </w:p>
          <w:p w14:paraId="0CEA518B" w14:textId="77777777" w:rsidR="00C64C3D" w:rsidRDefault="00C64C3D" w:rsidP="00A52DD7">
            <w:pPr>
              <w:rPr>
                <w:b/>
                <w:bCs/>
                <w:sz w:val="24"/>
                <w:szCs w:val="24"/>
              </w:rPr>
            </w:pPr>
          </w:p>
        </w:tc>
        <w:tc>
          <w:tcPr>
            <w:tcW w:w="8931" w:type="dxa"/>
          </w:tcPr>
          <w:p w14:paraId="2AA2BD13" w14:textId="7471E4DF" w:rsidR="00126B93" w:rsidRPr="00126B93" w:rsidRDefault="00126B93" w:rsidP="00A52DD7">
            <w:pPr>
              <w:rPr>
                <w:color w:val="C45911" w:themeColor="accent2" w:themeShade="BF"/>
              </w:rPr>
            </w:pPr>
            <w:r w:rsidRPr="00126B93">
              <w:rPr>
                <w:color w:val="C45911" w:themeColor="accent2" w:themeShade="BF"/>
              </w:rPr>
              <w:t>Introduce ambition to solve challenges of return to residential excursions with positive steps into the Autumn term</w:t>
            </w:r>
          </w:p>
          <w:p w14:paraId="13EDA37A" w14:textId="541E54A9" w:rsidR="00AE1A8F" w:rsidRDefault="00AE1A8F" w:rsidP="00A52DD7">
            <w:pPr>
              <w:rPr>
                <w:b/>
                <w:bCs/>
                <w:sz w:val="24"/>
                <w:szCs w:val="24"/>
              </w:rPr>
            </w:pPr>
            <w:r>
              <w:rPr>
                <w:b/>
                <w:bCs/>
                <w:sz w:val="24"/>
                <w:szCs w:val="24"/>
              </w:rPr>
              <w:t xml:space="preserve">AHOEC. </w:t>
            </w:r>
            <w:r w:rsidR="009232CD">
              <w:rPr>
                <w:b/>
                <w:bCs/>
                <w:sz w:val="24"/>
                <w:szCs w:val="24"/>
              </w:rPr>
              <w:t xml:space="preserve"> Intro</w:t>
            </w:r>
          </w:p>
          <w:p w14:paraId="1BAE299F" w14:textId="68425F81" w:rsidR="008440EE" w:rsidRDefault="008440EE" w:rsidP="00A52DD7">
            <w:pPr>
              <w:rPr>
                <w:color w:val="C45911" w:themeColor="accent2" w:themeShade="BF"/>
              </w:rPr>
            </w:pPr>
            <w:r>
              <w:rPr>
                <w:color w:val="C45911" w:themeColor="accent2" w:themeShade="BF"/>
              </w:rPr>
              <w:t>Edinburgh employment. Current AHOEC chair</w:t>
            </w:r>
          </w:p>
          <w:p w14:paraId="73E99CDE" w14:textId="66D21B7A" w:rsidR="000A2A6F" w:rsidRPr="000A2A6F" w:rsidRDefault="000A2A6F" w:rsidP="00A52DD7">
            <w:pPr>
              <w:rPr>
                <w:color w:val="C45911" w:themeColor="accent2" w:themeShade="BF"/>
              </w:rPr>
            </w:pPr>
            <w:r>
              <w:rPr>
                <w:color w:val="C45911" w:themeColor="accent2" w:themeShade="BF"/>
              </w:rPr>
              <w:t>AHOEC LA history</w:t>
            </w:r>
            <w:r w:rsidR="00126B93">
              <w:rPr>
                <w:color w:val="C45911" w:themeColor="accent2" w:themeShade="BF"/>
              </w:rPr>
              <w:t xml:space="preserve"> transferring</w:t>
            </w:r>
            <w:r>
              <w:rPr>
                <w:color w:val="C45911" w:themeColor="accent2" w:themeShade="BF"/>
              </w:rPr>
              <w:t xml:space="preserve"> to third sector and </w:t>
            </w:r>
            <w:r w:rsidR="00127E80">
              <w:rPr>
                <w:color w:val="C45911" w:themeColor="accent2" w:themeShade="BF"/>
              </w:rPr>
              <w:t>private</w:t>
            </w:r>
            <w:r w:rsidR="00126B93">
              <w:rPr>
                <w:color w:val="C45911" w:themeColor="accent2" w:themeShade="BF"/>
              </w:rPr>
              <w:t xml:space="preserve"> partners</w:t>
            </w:r>
            <w:r w:rsidR="00127E80">
              <w:rPr>
                <w:color w:val="C45911" w:themeColor="accent2" w:themeShade="BF"/>
              </w:rPr>
              <w:t xml:space="preserve">. </w:t>
            </w:r>
            <w:r w:rsidR="00126B93">
              <w:rPr>
                <w:color w:val="C45911" w:themeColor="accent2" w:themeShade="BF"/>
              </w:rPr>
              <w:t>Current re</w:t>
            </w:r>
            <w:r w:rsidR="00127E80">
              <w:rPr>
                <w:color w:val="C45911" w:themeColor="accent2" w:themeShade="BF"/>
              </w:rPr>
              <w:t xml:space="preserve">presentative of 27 out of 41 centres in </w:t>
            </w:r>
            <w:r w:rsidR="008440EE">
              <w:rPr>
                <w:color w:val="C45911" w:themeColor="accent2" w:themeShade="BF"/>
              </w:rPr>
              <w:t>Scotland</w:t>
            </w:r>
          </w:p>
          <w:p w14:paraId="24D850CA" w14:textId="77777777" w:rsidR="009232CD" w:rsidRDefault="009232CD" w:rsidP="00A52DD7">
            <w:pPr>
              <w:rPr>
                <w:b/>
                <w:bCs/>
                <w:sz w:val="24"/>
                <w:szCs w:val="24"/>
              </w:rPr>
            </w:pPr>
            <w:r>
              <w:rPr>
                <w:b/>
                <w:bCs/>
                <w:sz w:val="24"/>
                <w:szCs w:val="24"/>
              </w:rPr>
              <w:t>SAPOE Intro</w:t>
            </w:r>
          </w:p>
          <w:p w14:paraId="336323C2" w14:textId="55DA2B39" w:rsidR="00141760" w:rsidRPr="00141760" w:rsidRDefault="00141760" w:rsidP="00141760">
            <w:pPr>
              <w:rPr>
                <w:color w:val="2F5496" w:themeColor="accent1" w:themeShade="BF"/>
              </w:rPr>
            </w:pPr>
            <w:r w:rsidRPr="00141760">
              <w:rPr>
                <w:color w:val="2F5496" w:themeColor="accent1" w:themeShade="BF"/>
              </w:rPr>
              <w:t>Outdoor Learning Manager with Fife Council and here as current Chair of SAPOE, Scottish Advisory Panel for Outdoor Education.  SAPOE is the forum for local authority lead officers, who advise on best practice in the development and safe delivery of Outdoor Learning.</w:t>
            </w:r>
          </w:p>
          <w:p w14:paraId="7D5F9E84" w14:textId="44EEE69C" w:rsidR="00141760" w:rsidRPr="00141760" w:rsidRDefault="00141760" w:rsidP="00141760">
            <w:pPr>
              <w:rPr>
                <w:color w:val="2F5496" w:themeColor="accent1" w:themeShade="BF"/>
              </w:rPr>
            </w:pPr>
            <w:r w:rsidRPr="00141760">
              <w:rPr>
                <w:color w:val="2F5496" w:themeColor="accent1" w:themeShade="BF"/>
              </w:rPr>
              <w:t>SAPOE has collaborated with Education Scotland, Scottish Government, HSE and AHOEC for a number of years</w:t>
            </w:r>
            <w:r w:rsidR="006055DF">
              <w:rPr>
                <w:color w:val="2F5496" w:themeColor="accent1" w:themeShade="BF"/>
              </w:rPr>
              <w:t>,</w:t>
            </w:r>
            <w:r w:rsidRPr="00141760">
              <w:rPr>
                <w:color w:val="2F5496" w:themeColor="accent1" w:themeShade="BF"/>
              </w:rPr>
              <w:t xml:space="preserve"> but especially closely during the pandemic</w:t>
            </w:r>
            <w:r w:rsidR="006055DF">
              <w:rPr>
                <w:color w:val="2F5496" w:themeColor="accent1" w:themeShade="BF"/>
              </w:rPr>
              <w:t>,</w:t>
            </w:r>
            <w:r w:rsidRPr="00141760">
              <w:rPr>
                <w:color w:val="2F5496" w:themeColor="accent1" w:themeShade="BF"/>
              </w:rPr>
              <w:t xml:space="preserve"> to ensure Outdoor Learning was well placed to support young people during Education recovery.</w:t>
            </w:r>
            <w:r w:rsidR="006055DF">
              <w:rPr>
                <w:color w:val="2F5496" w:themeColor="accent1" w:themeShade="BF"/>
              </w:rPr>
              <w:t xml:space="preserve">  We hope you found some of the guidance included in the safe return to </w:t>
            </w:r>
            <w:r w:rsidR="000A2A6F">
              <w:rPr>
                <w:color w:val="2F5496" w:themeColor="accent1" w:themeShade="BF"/>
              </w:rPr>
              <w:t>schools’</w:t>
            </w:r>
            <w:r w:rsidR="006055DF">
              <w:rPr>
                <w:color w:val="2F5496" w:themeColor="accent1" w:themeShade="BF"/>
              </w:rPr>
              <w:t xml:space="preserve"> publications useful.</w:t>
            </w:r>
          </w:p>
          <w:p w14:paraId="1446FCFE" w14:textId="2FFDCEB1" w:rsidR="00141760" w:rsidRPr="00AE1A8F" w:rsidRDefault="00141760" w:rsidP="00141760">
            <w:pPr>
              <w:rPr>
                <w:sz w:val="24"/>
                <w:szCs w:val="24"/>
              </w:rPr>
            </w:pPr>
            <w:r w:rsidRPr="00141760">
              <w:rPr>
                <w:color w:val="2F5496" w:themeColor="accent1" w:themeShade="BF"/>
              </w:rPr>
              <w:t xml:space="preserve">There are 31 active SAPOE LA members so it is likely that your local authority is represented in the group and has been part of the </w:t>
            </w:r>
            <w:r w:rsidR="000A2A6F" w:rsidRPr="00141760">
              <w:rPr>
                <w:color w:val="2F5496" w:themeColor="accent1" w:themeShade="BF"/>
              </w:rPr>
              <w:t>decision-making</w:t>
            </w:r>
            <w:r w:rsidRPr="00141760">
              <w:rPr>
                <w:color w:val="2F5496" w:themeColor="accent1" w:themeShade="BF"/>
              </w:rPr>
              <w:t xml:space="preserve"> process in matters relating to </w:t>
            </w:r>
            <w:r w:rsidR="006055DF">
              <w:rPr>
                <w:color w:val="2F5496" w:themeColor="accent1" w:themeShade="BF"/>
              </w:rPr>
              <w:t>Outdoor Learning</w:t>
            </w:r>
            <w:r w:rsidRPr="00141760">
              <w:rPr>
                <w:color w:val="2F5496" w:themeColor="accent1" w:themeShade="BF"/>
              </w:rPr>
              <w:t>.</w:t>
            </w:r>
          </w:p>
        </w:tc>
        <w:tc>
          <w:tcPr>
            <w:tcW w:w="2187" w:type="dxa"/>
          </w:tcPr>
          <w:p w14:paraId="6AE25D2E" w14:textId="77777777" w:rsidR="00C64C3D" w:rsidRDefault="009232CD" w:rsidP="00A52DD7">
            <w:pPr>
              <w:rPr>
                <w:b/>
                <w:bCs/>
                <w:sz w:val="24"/>
                <w:szCs w:val="24"/>
              </w:rPr>
            </w:pPr>
            <w:r>
              <w:rPr>
                <w:b/>
                <w:bCs/>
                <w:sz w:val="24"/>
                <w:szCs w:val="24"/>
              </w:rPr>
              <w:t>Nick</w:t>
            </w:r>
          </w:p>
          <w:p w14:paraId="0264584C" w14:textId="299181D9" w:rsidR="009232CD" w:rsidRDefault="009232CD" w:rsidP="00A52DD7">
            <w:pPr>
              <w:rPr>
                <w:b/>
                <w:bCs/>
                <w:sz w:val="24"/>
                <w:szCs w:val="24"/>
              </w:rPr>
            </w:pPr>
            <w:r>
              <w:rPr>
                <w:b/>
                <w:bCs/>
                <w:sz w:val="24"/>
                <w:szCs w:val="24"/>
              </w:rPr>
              <w:t>Ali</w:t>
            </w:r>
          </w:p>
        </w:tc>
      </w:tr>
      <w:tr w:rsidR="00C64C3D" w14:paraId="2F459186" w14:textId="77777777" w:rsidTr="64307B1C">
        <w:tc>
          <w:tcPr>
            <w:tcW w:w="2830" w:type="dxa"/>
          </w:tcPr>
          <w:p w14:paraId="2113122A" w14:textId="6503138F" w:rsidR="00C64C3D" w:rsidRPr="00C64C3D" w:rsidRDefault="00C64C3D" w:rsidP="00A52DD7">
            <w:pPr>
              <w:rPr>
                <w:sz w:val="24"/>
                <w:szCs w:val="24"/>
              </w:rPr>
            </w:pPr>
            <w:r w:rsidRPr="00C64C3D">
              <w:rPr>
                <w:sz w:val="24"/>
                <w:szCs w:val="24"/>
              </w:rPr>
              <w:t>Overview of work in Pandemic</w:t>
            </w:r>
          </w:p>
        </w:tc>
        <w:tc>
          <w:tcPr>
            <w:tcW w:w="8931" w:type="dxa"/>
          </w:tcPr>
          <w:p w14:paraId="15569650" w14:textId="6D992037" w:rsidR="00C64C3D" w:rsidRDefault="00C64C3D" w:rsidP="00A52DD7">
            <w:pPr>
              <w:rPr>
                <w:sz w:val="24"/>
                <w:szCs w:val="24"/>
              </w:rPr>
            </w:pPr>
            <w:r>
              <w:rPr>
                <w:sz w:val="24"/>
                <w:szCs w:val="24"/>
              </w:rPr>
              <w:t>Outdoor Learning Recovery group. Support for OL in local and green space. Now looking to move back to residentials</w:t>
            </w:r>
            <w:r w:rsidR="00141760">
              <w:rPr>
                <w:sz w:val="24"/>
                <w:szCs w:val="24"/>
              </w:rPr>
              <w:t>.</w:t>
            </w:r>
          </w:p>
          <w:p w14:paraId="0F334CEE" w14:textId="3D40EE7D" w:rsidR="00141760" w:rsidRPr="00141760" w:rsidRDefault="00141760" w:rsidP="00141760">
            <w:pPr>
              <w:shd w:val="clear" w:color="auto" w:fill="FFFFFF"/>
              <w:textAlignment w:val="baseline"/>
              <w:rPr>
                <w:rFonts w:ascii="Calibri" w:eastAsia="Times New Roman" w:hAnsi="Calibri" w:cs="Calibri"/>
                <w:color w:val="2F5496" w:themeColor="accent1" w:themeShade="BF"/>
                <w:lang w:eastAsia="en-GB"/>
              </w:rPr>
            </w:pPr>
            <w:r w:rsidRPr="00141760">
              <w:rPr>
                <w:rFonts w:ascii="Calibri" w:eastAsia="Times New Roman" w:hAnsi="Calibri" w:cs="Calibri"/>
                <w:color w:val="2F5496" w:themeColor="accent1" w:themeShade="BF"/>
                <w:bdr w:val="none" w:sz="0" w:space="0" w:color="auto" w:frame="1"/>
                <w:lang w:eastAsia="en-GB"/>
              </w:rPr>
              <w:t>This year I believe the collaborative has been particularly effective in advising SG about how best outdoor learning can support the return to school and education</w:t>
            </w:r>
            <w:r w:rsidR="006055DF">
              <w:rPr>
                <w:rFonts w:ascii="Calibri" w:eastAsia="Times New Roman" w:hAnsi="Calibri" w:cs="Calibri"/>
                <w:color w:val="2F5496" w:themeColor="accent1" w:themeShade="BF"/>
                <w:bdr w:val="none" w:sz="0" w:space="0" w:color="auto" w:frame="1"/>
                <w:lang w:eastAsia="en-GB"/>
              </w:rPr>
              <w:t>.  We were</w:t>
            </w:r>
            <w:r w:rsidRPr="00141760">
              <w:rPr>
                <w:rFonts w:ascii="Calibri" w:eastAsia="Times New Roman" w:hAnsi="Calibri" w:cs="Calibri"/>
                <w:color w:val="2F5496" w:themeColor="accent1" w:themeShade="BF"/>
                <w:bdr w:val="none" w:sz="0" w:space="0" w:color="auto" w:frame="1"/>
                <w:lang w:eastAsia="en-GB"/>
              </w:rPr>
              <w:t xml:space="preserve"> tasked with producing a number of guidance documents and content for SG publication</w:t>
            </w:r>
            <w:r w:rsidR="006055DF">
              <w:rPr>
                <w:rFonts w:ascii="Calibri" w:eastAsia="Times New Roman" w:hAnsi="Calibri" w:cs="Calibri"/>
                <w:color w:val="2F5496" w:themeColor="accent1" w:themeShade="BF"/>
                <w:bdr w:val="none" w:sz="0" w:space="0" w:color="auto" w:frame="1"/>
                <w:lang w:eastAsia="en-GB"/>
              </w:rPr>
              <w:t xml:space="preserve"> including an infographic that is a useful reference tool to summarise guidance documents. </w:t>
            </w:r>
          </w:p>
          <w:p w14:paraId="3E1B040D" w14:textId="3B2DB9D4" w:rsidR="00141760" w:rsidRPr="00141760" w:rsidRDefault="00141760" w:rsidP="00141760">
            <w:pPr>
              <w:shd w:val="clear" w:color="auto" w:fill="FFFFFF"/>
              <w:textAlignment w:val="baseline"/>
              <w:rPr>
                <w:rFonts w:ascii="Calibri" w:eastAsia="Times New Roman" w:hAnsi="Calibri" w:cs="Calibri"/>
                <w:color w:val="2F5496" w:themeColor="accent1" w:themeShade="BF"/>
                <w:lang w:eastAsia="en-GB"/>
              </w:rPr>
            </w:pPr>
            <w:r w:rsidRPr="00141760">
              <w:rPr>
                <w:rFonts w:ascii="Calibri" w:eastAsia="Times New Roman" w:hAnsi="Calibri" w:cs="Calibri"/>
                <w:color w:val="2F5496" w:themeColor="accent1" w:themeShade="BF"/>
                <w:bdr w:val="none" w:sz="0" w:space="0" w:color="auto" w:frame="1"/>
                <w:lang w:eastAsia="en-GB"/>
              </w:rPr>
              <w:t xml:space="preserve">The development of two FREE online courses in 2020, Teaching LO and Supporting LO, has provided easy to access and supportive training modules for staff being asked to deliver more </w:t>
            </w:r>
            <w:r w:rsidR="006055DF">
              <w:rPr>
                <w:rFonts w:ascii="Calibri" w:eastAsia="Times New Roman" w:hAnsi="Calibri" w:cs="Calibri"/>
                <w:color w:val="2F5496" w:themeColor="accent1" w:themeShade="BF"/>
                <w:bdr w:val="none" w:sz="0" w:space="0" w:color="auto" w:frame="1"/>
                <w:lang w:eastAsia="en-GB"/>
              </w:rPr>
              <w:t>lessons</w:t>
            </w:r>
            <w:r w:rsidRPr="00141760">
              <w:rPr>
                <w:rFonts w:ascii="Calibri" w:eastAsia="Times New Roman" w:hAnsi="Calibri" w:cs="Calibri"/>
                <w:color w:val="2F5496" w:themeColor="accent1" w:themeShade="BF"/>
                <w:bdr w:val="none" w:sz="0" w:space="0" w:color="auto" w:frame="1"/>
                <w:lang w:eastAsia="en-GB"/>
              </w:rPr>
              <w:t xml:space="preserve"> outdoors.</w:t>
            </w:r>
          </w:p>
          <w:p w14:paraId="2D774C67" w14:textId="77777777" w:rsidR="00141760" w:rsidRPr="00141760" w:rsidRDefault="00141760" w:rsidP="00141760">
            <w:pPr>
              <w:shd w:val="clear" w:color="auto" w:fill="FFFFFF"/>
              <w:textAlignment w:val="baseline"/>
              <w:rPr>
                <w:rFonts w:ascii="Calibri" w:eastAsia="Times New Roman" w:hAnsi="Calibri" w:cs="Calibri"/>
                <w:color w:val="2F5496" w:themeColor="accent1" w:themeShade="BF"/>
                <w:lang w:eastAsia="en-GB"/>
              </w:rPr>
            </w:pPr>
            <w:r w:rsidRPr="00141760">
              <w:rPr>
                <w:rFonts w:ascii="Calibri" w:eastAsia="Times New Roman" w:hAnsi="Calibri" w:cs="Calibri"/>
                <w:color w:val="2F5496" w:themeColor="accent1" w:themeShade="BF"/>
                <w:bdr w:val="none" w:sz="0" w:space="0" w:color="auto" w:frame="1"/>
                <w:lang w:eastAsia="en-GB"/>
              </w:rPr>
              <w:t xml:space="preserve">Another SAPOE led project was launched by SG last week.  Going Out There is the National Guidance for all off-site visits and an updated document and supporting website has been </w:t>
            </w:r>
            <w:r w:rsidRPr="00141760">
              <w:rPr>
                <w:rFonts w:ascii="Calibri" w:eastAsia="Times New Roman" w:hAnsi="Calibri" w:cs="Calibri"/>
                <w:color w:val="2F5496" w:themeColor="accent1" w:themeShade="BF"/>
                <w:bdr w:val="none" w:sz="0" w:space="0" w:color="auto" w:frame="1"/>
                <w:lang w:eastAsia="en-GB"/>
              </w:rPr>
              <w:lastRenderedPageBreak/>
              <w:t>published.  </w:t>
            </w:r>
          </w:p>
          <w:p w14:paraId="73AC9877" w14:textId="375A7CDF" w:rsidR="00141760" w:rsidRPr="006055DF" w:rsidRDefault="00141760" w:rsidP="006055DF">
            <w:pPr>
              <w:shd w:val="clear" w:color="auto" w:fill="FFFFFF"/>
              <w:textAlignment w:val="baseline"/>
              <w:rPr>
                <w:rFonts w:ascii="Calibri" w:eastAsia="Times New Roman" w:hAnsi="Calibri" w:cs="Calibri"/>
                <w:color w:val="2F5496" w:themeColor="accent1" w:themeShade="BF"/>
                <w:lang w:eastAsia="en-GB"/>
              </w:rPr>
            </w:pPr>
            <w:r w:rsidRPr="00141760">
              <w:rPr>
                <w:rFonts w:ascii="Calibri" w:eastAsia="Times New Roman" w:hAnsi="Calibri" w:cs="Calibri"/>
                <w:color w:val="2F5496" w:themeColor="accent1" w:themeShade="BF"/>
                <w:bdr w:val="none" w:sz="0" w:space="0" w:color="auto" w:frame="1"/>
                <w:lang w:eastAsia="en-GB"/>
              </w:rPr>
              <w:t xml:space="preserve">In everything we do as a collaborative we try and ensure National consistency in guidance but with local flexibility </w:t>
            </w:r>
            <w:r w:rsidR="006055DF">
              <w:rPr>
                <w:rFonts w:ascii="Calibri" w:eastAsia="Times New Roman" w:hAnsi="Calibri" w:cs="Calibri"/>
                <w:color w:val="2F5496" w:themeColor="accent1" w:themeShade="BF"/>
                <w:bdr w:val="none" w:sz="0" w:space="0" w:color="auto" w:frame="1"/>
                <w:lang w:eastAsia="en-GB"/>
              </w:rPr>
              <w:t>so</w:t>
            </w:r>
            <w:r w:rsidRPr="00141760">
              <w:rPr>
                <w:rFonts w:ascii="Calibri" w:eastAsia="Times New Roman" w:hAnsi="Calibri" w:cs="Calibri"/>
                <w:color w:val="2F5496" w:themeColor="accent1" w:themeShade="BF"/>
                <w:bdr w:val="none" w:sz="0" w:space="0" w:color="auto" w:frame="1"/>
                <w:lang w:eastAsia="en-GB"/>
              </w:rPr>
              <w:t xml:space="preserve"> local authorities </w:t>
            </w:r>
            <w:r w:rsidR="006055DF">
              <w:rPr>
                <w:rFonts w:ascii="Calibri" w:eastAsia="Times New Roman" w:hAnsi="Calibri" w:cs="Calibri"/>
                <w:color w:val="2F5496" w:themeColor="accent1" w:themeShade="BF"/>
                <w:bdr w:val="none" w:sz="0" w:space="0" w:color="auto" w:frame="1"/>
                <w:lang w:eastAsia="en-GB"/>
              </w:rPr>
              <w:t>can</w:t>
            </w:r>
            <w:r w:rsidRPr="00141760">
              <w:rPr>
                <w:rFonts w:ascii="Calibri" w:eastAsia="Times New Roman" w:hAnsi="Calibri" w:cs="Calibri"/>
                <w:color w:val="2F5496" w:themeColor="accent1" w:themeShade="BF"/>
                <w:bdr w:val="none" w:sz="0" w:space="0" w:color="auto" w:frame="1"/>
                <w:lang w:eastAsia="en-GB"/>
              </w:rPr>
              <w:t xml:space="preserve"> deliver outdoor learning in ways that suit their needs. </w:t>
            </w:r>
          </w:p>
        </w:tc>
        <w:tc>
          <w:tcPr>
            <w:tcW w:w="2187" w:type="dxa"/>
          </w:tcPr>
          <w:p w14:paraId="3F620AD0" w14:textId="23EC6A96" w:rsidR="00C64C3D" w:rsidRDefault="00C64C3D" w:rsidP="00A52DD7">
            <w:pPr>
              <w:rPr>
                <w:b/>
                <w:bCs/>
                <w:sz w:val="24"/>
                <w:szCs w:val="24"/>
              </w:rPr>
            </w:pPr>
            <w:r>
              <w:rPr>
                <w:b/>
                <w:bCs/>
                <w:sz w:val="24"/>
                <w:szCs w:val="24"/>
              </w:rPr>
              <w:lastRenderedPageBreak/>
              <w:t>Ali</w:t>
            </w:r>
          </w:p>
        </w:tc>
      </w:tr>
      <w:tr w:rsidR="00C64C3D" w14:paraId="36D33027" w14:textId="77777777" w:rsidTr="64307B1C">
        <w:tc>
          <w:tcPr>
            <w:tcW w:w="2830" w:type="dxa"/>
          </w:tcPr>
          <w:p w14:paraId="22254E25" w14:textId="6BE9A918" w:rsidR="00C64C3D" w:rsidRPr="00C64C3D" w:rsidRDefault="00C64C3D" w:rsidP="00A52DD7">
            <w:pPr>
              <w:rPr>
                <w:sz w:val="24"/>
                <w:szCs w:val="24"/>
              </w:rPr>
            </w:pPr>
            <w:r w:rsidRPr="00C64C3D">
              <w:rPr>
                <w:sz w:val="24"/>
                <w:szCs w:val="24"/>
              </w:rPr>
              <w:lastRenderedPageBreak/>
              <w:t>Vision of progressive outdoor learning</w:t>
            </w:r>
          </w:p>
        </w:tc>
        <w:tc>
          <w:tcPr>
            <w:tcW w:w="8931" w:type="dxa"/>
          </w:tcPr>
          <w:p w14:paraId="428BEEB6" w14:textId="764FA2A7" w:rsidR="00141760" w:rsidRDefault="00141760" w:rsidP="00141760">
            <w:pPr>
              <w:shd w:val="clear" w:color="auto" w:fill="FFFFFF"/>
              <w:textAlignment w:val="baseline"/>
              <w:rPr>
                <w:rFonts w:ascii="Calibri" w:eastAsia="Times New Roman" w:hAnsi="Calibri" w:cs="Calibri"/>
                <w:color w:val="2F5496" w:themeColor="accent1" w:themeShade="BF"/>
                <w:lang w:eastAsia="en-GB"/>
              </w:rPr>
            </w:pPr>
            <w:r w:rsidRPr="00141760">
              <w:rPr>
                <w:rFonts w:ascii="Calibri" w:eastAsia="Times New Roman" w:hAnsi="Calibri" w:cs="Calibri"/>
                <w:color w:val="2F5496" w:themeColor="accent1" w:themeShade="BF"/>
                <w:lang w:eastAsia="en-GB"/>
              </w:rPr>
              <w:t>The return to school, offsite visits and residential experiences has been understandably cautious but we believe there is a need and an appetite from schools and staff to continue making progress.  Outdoor centres that have been able to offer day activities are now operating at capacity, some DofE and expedition activity has restarted and we are offering advice on a daily basis about local outdoor learning.  Local authorities have already found solutions and put in place procedures to enable young people to access outdoor learning both locally and at centres including adapting travel and staffing arrangements.</w:t>
            </w:r>
          </w:p>
          <w:p w14:paraId="0C33B07F" w14:textId="6A7609F4" w:rsidR="00C64C3D" w:rsidRPr="00141760" w:rsidRDefault="00141760" w:rsidP="64307B1C">
            <w:pPr>
              <w:jc w:val="both"/>
              <w:rPr>
                <w:rFonts w:ascii="Calibri" w:eastAsia="Calibri" w:hAnsi="Calibri" w:cs="Calibri"/>
                <w:b/>
                <w:bCs/>
                <w:color w:val="2F5496" w:themeColor="accent1" w:themeShade="BF"/>
                <w:sz w:val="23"/>
                <w:szCs w:val="23"/>
              </w:rPr>
            </w:pPr>
            <w:r w:rsidRPr="64307B1C">
              <w:rPr>
                <w:rFonts w:ascii="Calibri" w:eastAsia="Calibri" w:hAnsi="Calibri" w:cs="Calibri"/>
                <w:color w:val="2F5496" w:themeColor="accent1" w:themeShade="BF"/>
                <w:sz w:val="23"/>
                <w:szCs w:val="23"/>
              </w:rPr>
              <w:t>The overarching ambition of SAPOE is for Outdoor Learning to become truly embedded and to ensure that a progressive Outdoor Learning journey from 3-18yrs, from local area to adventure activity and residential experiences, is secured for all young people in Scotland in the years to come.</w:t>
            </w:r>
            <w:r w:rsidR="00A070F7" w:rsidRPr="64307B1C">
              <w:rPr>
                <w:rFonts w:ascii="Calibri" w:eastAsia="Calibri" w:hAnsi="Calibri" w:cs="Calibri"/>
                <w:color w:val="2F5496" w:themeColor="accent1" w:themeShade="BF"/>
                <w:sz w:val="23"/>
                <w:szCs w:val="23"/>
              </w:rPr>
              <w:t xml:space="preserve">  This is an aim that was included in nearly all party manifestos at the recent election</w:t>
            </w:r>
            <w:r w:rsidR="09E847AB" w:rsidRPr="64307B1C">
              <w:rPr>
                <w:rFonts w:ascii="Calibri" w:eastAsia="Calibri" w:hAnsi="Calibri" w:cs="Calibri"/>
                <w:color w:val="2F5496" w:themeColor="accent1" w:themeShade="BF"/>
                <w:sz w:val="23"/>
                <w:szCs w:val="23"/>
              </w:rPr>
              <w:t xml:space="preserve"> and we were pleased to see the newly appointed minister for Children and Youn People, Claire Haughey, has Outdoor Learning in her remit.</w:t>
            </w:r>
          </w:p>
        </w:tc>
        <w:tc>
          <w:tcPr>
            <w:tcW w:w="2187" w:type="dxa"/>
          </w:tcPr>
          <w:p w14:paraId="36069D74" w14:textId="68751570" w:rsidR="00C64C3D" w:rsidRDefault="00C64C3D" w:rsidP="00A52DD7">
            <w:pPr>
              <w:rPr>
                <w:b/>
                <w:bCs/>
                <w:sz w:val="24"/>
                <w:szCs w:val="24"/>
              </w:rPr>
            </w:pPr>
            <w:r>
              <w:rPr>
                <w:b/>
                <w:bCs/>
                <w:sz w:val="24"/>
                <w:szCs w:val="24"/>
              </w:rPr>
              <w:t>Ali</w:t>
            </w:r>
          </w:p>
        </w:tc>
      </w:tr>
      <w:tr w:rsidR="009232CD" w14:paraId="33E419F0" w14:textId="77777777" w:rsidTr="64307B1C">
        <w:tc>
          <w:tcPr>
            <w:tcW w:w="2830" w:type="dxa"/>
          </w:tcPr>
          <w:p w14:paraId="010D4FD0" w14:textId="76CE9900" w:rsidR="009232CD" w:rsidRPr="00C64C3D" w:rsidRDefault="009232CD" w:rsidP="009232CD">
            <w:pPr>
              <w:rPr>
                <w:sz w:val="24"/>
                <w:szCs w:val="24"/>
              </w:rPr>
            </w:pPr>
            <w:r w:rsidRPr="00C64C3D">
              <w:rPr>
                <w:sz w:val="24"/>
                <w:szCs w:val="24"/>
              </w:rPr>
              <w:t>Explain current collaboration</w:t>
            </w:r>
            <w:r w:rsidR="00256F2A">
              <w:rPr>
                <w:sz w:val="24"/>
                <w:szCs w:val="24"/>
              </w:rPr>
              <w:t xml:space="preserve"> and the challenge ahead. </w:t>
            </w:r>
          </w:p>
        </w:tc>
        <w:tc>
          <w:tcPr>
            <w:tcW w:w="8931" w:type="dxa"/>
          </w:tcPr>
          <w:p w14:paraId="35C054D2" w14:textId="00253CAF" w:rsidR="00256F2A" w:rsidRPr="00127E80" w:rsidRDefault="008440EE" w:rsidP="00256F2A">
            <w:pPr>
              <w:rPr>
                <w:color w:val="C45911" w:themeColor="accent2" w:themeShade="BF"/>
                <w:sz w:val="24"/>
                <w:szCs w:val="24"/>
              </w:rPr>
            </w:pPr>
            <w:r>
              <w:rPr>
                <w:color w:val="C45911" w:themeColor="accent2" w:themeShade="BF"/>
                <w:sz w:val="24"/>
                <w:szCs w:val="24"/>
              </w:rPr>
              <w:t xml:space="preserve">Current </w:t>
            </w:r>
            <w:r w:rsidR="009232CD" w:rsidRPr="00127E80">
              <w:rPr>
                <w:color w:val="C45911" w:themeColor="accent2" w:themeShade="BF"/>
                <w:sz w:val="24"/>
                <w:szCs w:val="24"/>
              </w:rPr>
              <w:t>Scottish Government</w:t>
            </w:r>
            <w:r>
              <w:rPr>
                <w:color w:val="C45911" w:themeColor="accent2" w:themeShade="BF"/>
                <w:sz w:val="24"/>
                <w:szCs w:val="24"/>
              </w:rPr>
              <w:t xml:space="preserve"> group is led by Civil Service and now reports to </w:t>
            </w:r>
            <w:r w:rsidRPr="008440EE">
              <w:rPr>
                <w:color w:val="C45911" w:themeColor="accent2" w:themeShade="BF"/>
                <w:sz w:val="24"/>
                <w:szCs w:val="24"/>
              </w:rPr>
              <w:t>Shirley-Anne Somerville</w:t>
            </w:r>
            <w:r>
              <w:rPr>
                <w:color w:val="C45911" w:themeColor="accent2" w:themeShade="BF"/>
                <w:sz w:val="24"/>
                <w:szCs w:val="24"/>
              </w:rPr>
              <w:t>. The last round of guidance was produced by the Outdoor Learning Recovery Group</w:t>
            </w:r>
            <w:r w:rsidR="009232CD" w:rsidRPr="00127E80">
              <w:rPr>
                <w:color w:val="C45911" w:themeColor="accent2" w:themeShade="BF"/>
                <w:sz w:val="24"/>
                <w:szCs w:val="24"/>
              </w:rPr>
              <w:t>, SAPOE, AHOEC, YouthLink, SCIS</w:t>
            </w:r>
            <w:r>
              <w:rPr>
                <w:color w:val="C45911" w:themeColor="accent2" w:themeShade="BF"/>
                <w:sz w:val="24"/>
                <w:szCs w:val="24"/>
              </w:rPr>
              <w:t xml:space="preserve">. The guidance is now </w:t>
            </w:r>
            <w:r w:rsidR="00256F2A">
              <w:rPr>
                <w:color w:val="C45911" w:themeColor="accent2" w:themeShade="BF"/>
                <w:sz w:val="24"/>
                <w:szCs w:val="24"/>
              </w:rPr>
              <w:t>live,</w:t>
            </w:r>
            <w:r>
              <w:rPr>
                <w:color w:val="C45911" w:themeColor="accent2" w:themeShade="BF"/>
                <w:sz w:val="24"/>
                <w:szCs w:val="24"/>
              </w:rPr>
              <w:t xml:space="preserve"> and we are producing the guidance for the next session </w:t>
            </w:r>
            <w:r w:rsidR="00256F2A">
              <w:rPr>
                <w:color w:val="C45911" w:themeColor="accent2" w:themeShade="BF"/>
                <w:sz w:val="24"/>
                <w:szCs w:val="24"/>
              </w:rPr>
              <w:t>which will go to the clinician</w:t>
            </w:r>
            <w:r w:rsidR="002B1EB8">
              <w:rPr>
                <w:color w:val="C45911" w:themeColor="accent2" w:themeShade="BF"/>
                <w:sz w:val="24"/>
                <w:szCs w:val="24"/>
              </w:rPr>
              <w:t>s</w:t>
            </w:r>
            <w:r w:rsidR="00256F2A">
              <w:rPr>
                <w:color w:val="C45911" w:themeColor="accent2" w:themeShade="BF"/>
                <w:sz w:val="24"/>
                <w:szCs w:val="24"/>
              </w:rPr>
              <w:t xml:space="preserve"> this week. Essentially the group recognises that as opportunities for excursions and residentials start to reopen there are several challenges at LA level that could stand in the way of SG guidance being implemented. We are not advocating that we have the capacity to address each individual LA’s circumstance, but we have identified some common themes that we hope can be discussed at a national level. </w:t>
            </w:r>
            <w:r w:rsidR="009232CD" w:rsidRPr="00127E80">
              <w:rPr>
                <w:color w:val="C45911" w:themeColor="accent2" w:themeShade="BF"/>
                <w:sz w:val="24"/>
                <w:szCs w:val="24"/>
              </w:rPr>
              <w:t xml:space="preserve"> </w:t>
            </w:r>
          </w:p>
          <w:p w14:paraId="76BB7C62" w14:textId="4C633CEB" w:rsidR="00127E80" w:rsidRPr="00127E80" w:rsidRDefault="00127E80" w:rsidP="009232CD">
            <w:pPr>
              <w:rPr>
                <w:color w:val="C45911" w:themeColor="accent2" w:themeShade="BF"/>
                <w:sz w:val="24"/>
                <w:szCs w:val="24"/>
              </w:rPr>
            </w:pPr>
          </w:p>
        </w:tc>
        <w:tc>
          <w:tcPr>
            <w:tcW w:w="2187" w:type="dxa"/>
          </w:tcPr>
          <w:p w14:paraId="119FA0AF" w14:textId="199C0FE8" w:rsidR="009232CD" w:rsidRDefault="009232CD" w:rsidP="009232CD">
            <w:pPr>
              <w:rPr>
                <w:b/>
                <w:bCs/>
                <w:sz w:val="24"/>
                <w:szCs w:val="24"/>
              </w:rPr>
            </w:pPr>
            <w:r>
              <w:rPr>
                <w:b/>
                <w:bCs/>
                <w:sz w:val="24"/>
                <w:szCs w:val="24"/>
              </w:rPr>
              <w:t>Nick</w:t>
            </w:r>
          </w:p>
        </w:tc>
      </w:tr>
      <w:tr w:rsidR="009232CD" w14:paraId="588F7C3A" w14:textId="77777777" w:rsidTr="64307B1C">
        <w:tc>
          <w:tcPr>
            <w:tcW w:w="2830" w:type="dxa"/>
          </w:tcPr>
          <w:p w14:paraId="442E3D21" w14:textId="52F29868" w:rsidR="009232CD" w:rsidRPr="00C64C3D" w:rsidRDefault="009232CD" w:rsidP="009232CD">
            <w:pPr>
              <w:rPr>
                <w:sz w:val="24"/>
                <w:szCs w:val="24"/>
              </w:rPr>
            </w:pPr>
            <w:r w:rsidRPr="00C64C3D">
              <w:rPr>
                <w:sz w:val="24"/>
                <w:szCs w:val="24"/>
              </w:rPr>
              <w:t>The challenges to return</w:t>
            </w:r>
          </w:p>
        </w:tc>
        <w:tc>
          <w:tcPr>
            <w:tcW w:w="8931" w:type="dxa"/>
          </w:tcPr>
          <w:p w14:paraId="6DE02E4B" w14:textId="12155927" w:rsidR="009232CD" w:rsidRPr="00127E80" w:rsidRDefault="00126B93" w:rsidP="009232CD">
            <w:pPr>
              <w:rPr>
                <w:color w:val="C45911" w:themeColor="accent2" w:themeShade="BF"/>
                <w:sz w:val="24"/>
                <w:szCs w:val="24"/>
              </w:rPr>
            </w:pPr>
            <w:r>
              <w:rPr>
                <w:color w:val="C45911" w:themeColor="accent2" w:themeShade="BF"/>
                <w:sz w:val="24"/>
                <w:szCs w:val="24"/>
              </w:rPr>
              <w:t>The group prioritises the following challenges in returning to residential excursions following positive SG advice</w:t>
            </w:r>
            <w:r w:rsidR="009232CD" w:rsidRPr="00127E80">
              <w:rPr>
                <w:color w:val="C45911" w:themeColor="accent2" w:themeShade="BF"/>
                <w:sz w:val="24"/>
                <w:szCs w:val="24"/>
              </w:rPr>
              <w:t>:</w:t>
            </w:r>
          </w:p>
          <w:p w14:paraId="4C5CF65F" w14:textId="2B570AB1" w:rsidR="009232CD" w:rsidRPr="00127E80" w:rsidRDefault="009232CD" w:rsidP="009232CD">
            <w:pPr>
              <w:pStyle w:val="ListParagraph"/>
              <w:numPr>
                <w:ilvl w:val="0"/>
                <w:numId w:val="1"/>
              </w:numPr>
              <w:rPr>
                <w:color w:val="C45911" w:themeColor="accent2" w:themeShade="BF"/>
                <w:sz w:val="24"/>
                <w:szCs w:val="24"/>
              </w:rPr>
            </w:pPr>
            <w:r w:rsidRPr="00127E80">
              <w:rPr>
                <w:color w:val="C45911" w:themeColor="accent2" w:themeShade="BF"/>
                <w:sz w:val="24"/>
                <w:szCs w:val="24"/>
              </w:rPr>
              <w:t>Financial Risk Management. Financial risk from COVID</w:t>
            </w:r>
            <w:r w:rsidR="00256F2A">
              <w:rPr>
                <w:color w:val="C45911" w:themeColor="accent2" w:themeShade="BF"/>
                <w:sz w:val="24"/>
                <w:szCs w:val="24"/>
              </w:rPr>
              <w:t xml:space="preserve"> cancellations</w:t>
            </w:r>
            <w:r w:rsidRPr="00127E80">
              <w:rPr>
                <w:color w:val="C45911" w:themeColor="accent2" w:themeShade="BF"/>
                <w:sz w:val="24"/>
                <w:szCs w:val="24"/>
              </w:rPr>
              <w:t xml:space="preserve">. </w:t>
            </w:r>
            <w:r w:rsidR="00256F2A">
              <w:rPr>
                <w:color w:val="C45911" w:themeColor="accent2" w:themeShade="BF"/>
                <w:sz w:val="24"/>
                <w:szCs w:val="24"/>
              </w:rPr>
              <w:t xml:space="preserve">Each LA has had different experiences with unpicking cancelled excursions following the first </w:t>
            </w:r>
            <w:r w:rsidR="00256F2A">
              <w:rPr>
                <w:color w:val="C45911" w:themeColor="accent2" w:themeShade="BF"/>
                <w:sz w:val="24"/>
                <w:szCs w:val="24"/>
              </w:rPr>
              <w:lastRenderedPageBreak/>
              <w:t>lockdown which has led to LA’s analysing their Insurance policies</w:t>
            </w:r>
            <w:r w:rsidR="00683329">
              <w:rPr>
                <w:color w:val="C45911" w:themeColor="accent2" w:themeShade="BF"/>
                <w:sz w:val="24"/>
                <w:szCs w:val="24"/>
              </w:rPr>
              <w:t xml:space="preserve">. </w:t>
            </w:r>
            <w:r w:rsidR="00256F2A">
              <w:rPr>
                <w:color w:val="C45911" w:themeColor="accent2" w:themeShade="BF"/>
                <w:sz w:val="24"/>
                <w:szCs w:val="24"/>
              </w:rPr>
              <w:t xml:space="preserve"> </w:t>
            </w:r>
            <w:r w:rsidR="00683329">
              <w:rPr>
                <w:color w:val="C45911" w:themeColor="accent2" w:themeShade="BF"/>
                <w:sz w:val="24"/>
                <w:szCs w:val="24"/>
              </w:rPr>
              <w:t xml:space="preserve">At the current time there is no insurance policy available that will cover a LA for excursion cancellation due to COVID. </w:t>
            </w:r>
            <w:r w:rsidRPr="00127E80">
              <w:rPr>
                <w:color w:val="C45911" w:themeColor="accent2" w:themeShade="BF"/>
                <w:sz w:val="24"/>
                <w:szCs w:val="24"/>
              </w:rPr>
              <w:t xml:space="preserve"> </w:t>
            </w:r>
            <w:r w:rsidR="00683329">
              <w:rPr>
                <w:color w:val="C45911" w:themeColor="accent2" w:themeShade="BF"/>
                <w:sz w:val="24"/>
                <w:szCs w:val="24"/>
              </w:rPr>
              <w:t>Financial risk management is leading LA’s to therefore prevent access to residential excursions after the SG green light.</w:t>
            </w:r>
          </w:p>
          <w:p w14:paraId="25646F8F" w14:textId="77777777" w:rsidR="009232CD" w:rsidRPr="00127E80" w:rsidRDefault="009232CD" w:rsidP="009232CD">
            <w:pPr>
              <w:pStyle w:val="ListParagraph"/>
              <w:numPr>
                <w:ilvl w:val="0"/>
                <w:numId w:val="1"/>
              </w:numPr>
              <w:rPr>
                <w:color w:val="C45911" w:themeColor="accent2" w:themeShade="BF"/>
                <w:sz w:val="24"/>
                <w:szCs w:val="24"/>
              </w:rPr>
            </w:pPr>
            <w:r w:rsidRPr="00127E80">
              <w:rPr>
                <w:color w:val="C45911" w:themeColor="accent2" w:themeShade="BF"/>
                <w:sz w:val="24"/>
                <w:szCs w:val="24"/>
              </w:rPr>
              <w:t>School and teaching staff confidence. Union consultation?</w:t>
            </w:r>
          </w:p>
          <w:p w14:paraId="19187AA6" w14:textId="4D2033C2" w:rsidR="009232CD" w:rsidRDefault="009232CD" w:rsidP="009232CD">
            <w:pPr>
              <w:pStyle w:val="ListParagraph"/>
              <w:numPr>
                <w:ilvl w:val="0"/>
                <w:numId w:val="1"/>
              </w:numPr>
              <w:rPr>
                <w:color w:val="C45911" w:themeColor="accent2" w:themeShade="BF"/>
                <w:sz w:val="24"/>
                <w:szCs w:val="24"/>
              </w:rPr>
            </w:pPr>
            <w:r w:rsidRPr="00127E80">
              <w:rPr>
                <w:color w:val="C45911" w:themeColor="accent2" w:themeShade="BF"/>
                <w:sz w:val="24"/>
                <w:szCs w:val="24"/>
              </w:rPr>
              <w:t xml:space="preserve">Practicalities. Repatriation from remote. Maintaining school bubbles on site </w:t>
            </w:r>
          </w:p>
          <w:p w14:paraId="676E7723" w14:textId="7D85631B" w:rsidR="00683329" w:rsidRDefault="00683329" w:rsidP="00683329">
            <w:pPr>
              <w:rPr>
                <w:color w:val="C45911" w:themeColor="accent2" w:themeShade="BF"/>
                <w:sz w:val="24"/>
                <w:szCs w:val="24"/>
              </w:rPr>
            </w:pPr>
          </w:p>
          <w:p w14:paraId="0137F501" w14:textId="7ADBACF6" w:rsidR="00683329" w:rsidRPr="00683329" w:rsidRDefault="00683329" w:rsidP="00683329">
            <w:pPr>
              <w:rPr>
                <w:color w:val="C45911" w:themeColor="accent2" w:themeShade="BF"/>
                <w:sz w:val="24"/>
                <w:szCs w:val="24"/>
              </w:rPr>
            </w:pPr>
            <w:r>
              <w:rPr>
                <w:color w:val="C45911" w:themeColor="accent2" w:themeShade="BF"/>
                <w:sz w:val="24"/>
                <w:szCs w:val="24"/>
              </w:rPr>
              <w:t>These are the key challenges identified by the working group but we potentially not the only ones……</w:t>
            </w:r>
          </w:p>
          <w:p w14:paraId="3CEBEBFC" w14:textId="77777777" w:rsidR="009232CD" w:rsidRPr="00127E80" w:rsidRDefault="009232CD" w:rsidP="009232CD">
            <w:pPr>
              <w:rPr>
                <w:b/>
                <w:bCs/>
                <w:color w:val="C45911" w:themeColor="accent2" w:themeShade="BF"/>
                <w:sz w:val="24"/>
                <w:szCs w:val="24"/>
              </w:rPr>
            </w:pPr>
          </w:p>
        </w:tc>
        <w:tc>
          <w:tcPr>
            <w:tcW w:w="2187" w:type="dxa"/>
          </w:tcPr>
          <w:p w14:paraId="41C909F3" w14:textId="73D5CC9B" w:rsidR="009232CD" w:rsidRDefault="009232CD" w:rsidP="009232CD">
            <w:pPr>
              <w:rPr>
                <w:b/>
                <w:bCs/>
                <w:sz w:val="24"/>
                <w:szCs w:val="24"/>
              </w:rPr>
            </w:pPr>
            <w:r>
              <w:rPr>
                <w:b/>
                <w:bCs/>
                <w:sz w:val="24"/>
                <w:szCs w:val="24"/>
              </w:rPr>
              <w:lastRenderedPageBreak/>
              <w:t>Nick</w:t>
            </w:r>
          </w:p>
        </w:tc>
      </w:tr>
      <w:tr w:rsidR="009232CD" w14:paraId="3C5D9EB9" w14:textId="77777777" w:rsidTr="64307B1C">
        <w:tc>
          <w:tcPr>
            <w:tcW w:w="2830" w:type="dxa"/>
          </w:tcPr>
          <w:p w14:paraId="139DABD1" w14:textId="0A454B8A" w:rsidR="009232CD" w:rsidRPr="00C64C3D" w:rsidRDefault="009232CD" w:rsidP="009232CD">
            <w:pPr>
              <w:rPr>
                <w:sz w:val="24"/>
                <w:szCs w:val="24"/>
              </w:rPr>
            </w:pPr>
            <w:r w:rsidRPr="00C64C3D">
              <w:rPr>
                <w:sz w:val="24"/>
                <w:szCs w:val="24"/>
              </w:rPr>
              <w:lastRenderedPageBreak/>
              <w:t>ADES Challenges</w:t>
            </w:r>
          </w:p>
        </w:tc>
        <w:tc>
          <w:tcPr>
            <w:tcW w:w="8931" w:type="dxa"/>
          </w:tcPr>
          <w:p w14:paraId="22D5363D" w14:textId="1EF8C721" w:rsidR="009232CD" w:rsidRPr="007E3F6D" w:rsidRDefault="009232CD" w:rsidP="009232CD">
            <w:pPr>
              <w:rPr>
                <w:color w:val="2F5496" w:themeColor="accent1" w:themeShade="BF"/>
                <w:sz w:val="24"/>
                <w:szCs w:val="24"/>
              </w:rPr>
            </w:pPr>
            <w:r w:rsidRPr="007E3F6D">
              <w:rPr>
                <w:color w:val="2F5496" w:themeColor="accent1" w:themeShade="BF"/>
                <w:sz w:val="24"/>
                <w:szCs w:val="24"/>
              </w:rPr>
              <w:t>What challenges do ADES see in returning to excursions/residentials</w:t>
            </w:r>
            <w:r w:rsidR="006055DF" w:rsidRPr="007E3F6D">
              <w:rPr>
                <w:color w:val="2F5496" w:themeColor="accent1" w:themeShade="BF"/>
                <w:sz w:val="24"/>
                <w:szCs w:val="24"/>
              </w:rPr>
              <w:t>?</w:t>
            </w:r>
          </w:p>
        </w:tc>
        <w:tc>
          <w:tcPr>
            <w:tcW w:w="2187" w:type="dxa"/>
          </w:tcPr>
          <w:p w14:paraId="688E764F" w14:textId="2B361B98" w:rsidR="009232CD" w:rsidRDefault="009232CD" w:rsidP="009232CD">
            <w:pPr>
              <w:rPr>
                <w:b/>
                <w:bCs/>
                <w:sz w:val="24"/>
                <w:szCs w:val="24"/>
              </w:rPr>
            </w:pPr>
            <w:r>
              <w:rPr>
                <w:b/>
                <w:bCs/>
                <w:sz w:val="24"/>
                <w:szCs w:val="24"/>
              </w:rPr>
              <w:t>Ali</w:t>
            </w:r>
          </w:p>
        </w:tc>
      </w:tr>
      <w:tr w:rsidR="009232CD" w14:paraId="4A29D63F" w14:textId="77777777" w:rsidTr="64307B1C">
        <w:tc>
          <w:tcPr>
            <w:tcW w:w="2830" w:type="dxa"/>
          </w:tcPr>
          <w:p w14:paraId="770CEE22" w14:textId="63A0395F" w:rsidR="009232CD" w:rsidRPr="00C64C3D" w:rsidRDefault="009232CD" w:rsidP="009232CD">
            <w:pPr>
              <w:rPr>
                <w:sz w:val="24"/>
                <w:szCs w:val="24"/>
              </w:rPr>
            </w:pPr>
            <w:r w:rsidRPr="00C64C3D">
              <w:rPr>
                <w:sz w:val="24"/>
                <w:szCs w:val="24"/>
              </w:rPr>
              <w:t>How …..</w:t>
            </w:r>
          </w:p>
        </w:tc>
        <w:tc>
          <w:tcPr>
            <w:tcW w:w="8931" w:type="dxa"/>
          </w:tcPr>
          <w:p w14:paraId="06F04760" w14:textId="77777777" w:rsidR="009232CD" w:rsidRPr="007E3F6D" w:rsidRDefault="009232CD" w:rsidP="009232CD">
            <w:pPr>
              <w:rPr>
                <w:color w:val="2F5496" w:themeColor="accent1" w:themeShade="BF"/>
                <w:sz w:val="24"/>
                <w:szCs w:val="24"/>
              </w:rPr>
            </w:pPr>
            <w:r w:rsidRPr="007E3F6D">
              <w:rPr>
                <w:color w:val="2F5496" w:themeColor="accent1" w:themeShade="BF"/>
                <w:sz w:val="24"/>
                <w:szCs w:val="24"/>
              </w:rPr>
              <w:t>How can we work collaboratively to solve these challenges that are common to all LA Educational provision</w:t>
            </w:r>
            <w:r w:rsidR="00A070F7" w:rsidRPr="007E3F6D">
              <w:rPr>
                <w:color w:val="2F5496" w:themeColor="accent1" w:themeShade="BF"/>
                <w:sz w:val="24"/>
                <w:szCs w:val="24"/>
              </w:rPr>
              <w:t>?</w:t>
            </w:r>
          </w:p>
          <w:p w14:paraId="46187B72" w14:textId="4452F3EC" w:rsidR="00A070F7" w:rsidRPr="007E3F6D" w:rsidRDefault="00A070F7" w:rsidP="009232CD">
            <w:pPr>
              <w:rPr>
                <w:color w:val="2F5496" w:themeColor="accent1" w:themeShade="BF"/>
                <w:sz w:val="24"/>
                <w:szCs w:val="24"/>
              </w:rPr>
            </w:pPr>
            <w:r w:rsidRPr="007E3F6D">
              <w:rPr>
                <w:rFonts w:ascii="Calibri" w:hAnsi="Calibri" w:cs="Calibri"/>
                <w:color w:val="2F5496" w:themeColor="accent1" w:themeShade="BF"/>
                <w:sz w:val="24"/>
                <w:szCs w:val="24"/>
                <w:shd w:val="clear" w:color="auto" w:fill="FFFFFF"/>
              </w:rPr>
              <w:t>How best can we engage with ADES on matters relating to learning outdoors, adventure activity and residential experiences?</w:t>
            </w:r>
          </w:p>
        </w:tc>
        <w:tc>
          <w:tcPr>
            <w:tcW w:w="2187" w:type="dxa"/>
          </w:tcPr>
          <w:p w14:paraId="3444B03D" w14:textId="55E04DB2" w:rsidR="009232CD" w:rsidRDefault="009232CD" w:rsidP="009232CD">
            <w:pPr>
              <w:rPr>
                <w:b/>
                <w:bCs/>
                <w:sz w:val="24"/>
                <w:szCs w:val="24"/>
              </w:rPr>
            </w:pPr>
            <w:r>
              <w:rPr>
                <w:b/>
                <w:bCs/>
                <w:sz w:val="24"/>
                <w:szCs w:val="24"/>
              </w:rPr>
              <w:t>Ali</w:t>
            </w:r>
          </w:p>
        </w:tc>
      </w:tr>
    </w:tbl>
    <w:p w14:paraId="6DB7D76E" w14:textId="77777777" w:rsidR="00C64C3D" w:rsidRDefault="00C64C3D" w:rsidP="00A52DD7">
      <w:pPr>
        <w:rPr>
          <w:b/>
          <w:bCs/>
          <w:sz w:val="24"/>
          <w:szCs w:val="24"/>
        </w:rPr>
      </w:pPr>
    </w:p>
    <w:p w14:paraId="7C973A4D" w14:textId="2F95BBE6" w:rsidR="00A52DD7" w:rsidRPr="006055DF" w:rsidRDefault="00FF5C98" w:rsidP="00A52DD7">
      <w:pPr>
        <w:rPr>
          <w:sz w:val="24"/>
          <w:szCs w:val="24"/>
        </w:rPr>
      </w:pPr>
      <w:r>
        <w:rPr>
          <w:sz w:val="24"/>
          <w:szCs w:val="24"/>
        </w:rPr>
        <w:t xml:space="preserve"> </w:t>
      </w:r>
    </w:p>
    <w:sectPr w:rsidR="00A52DD7" w:rsidRPr="006055DF" w:rsidSect="00C64C3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A3B13"/>
    <w:multiLevelType w:val="hybridMultilevel"/>
    <w:tmpl w:val="117E4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D7"/>
    <w:rsid w:val="000A2A6F"/>
    <w:rsid w:val="000B3464"/>
    <w:rsid w:val="00126B93"/>
    <w:rsid w:val="00127E80"/>
    <w:rsid w:val="00141760"/>
    <w:rsid w:val="00256F2A"/>
    <w:rsid w:val="002B1EB8"/>
    <w:rsid w:val="002F0DF6"/>
    <w:rsid w:val="00563B9A"/>
    <w:rsid w:val="00594083"/>
    <w:rsid w:val="006055DF"/>
    <w:rsid w:val="00683329"/>
    <w:rsid w:val="007E3F6D"/>
    <w:rsid w:val="0082299A"/>
    <w:rsid w:val="008440EE"/>
    <w:rsid w:val="008700FA"/>
    <w:rsid w:val="009232CD"/>
    <w:rsid w:val="00A070F7"/>
    <w:rsid w:val="00A52DD7"/>
    <w:rsid w:val="00AE1A8F"/>
    <w:rsid w:val="00BC0DE2"/>
    <w:rsid w:val="00C64C3D"/>
    <w:rsid w:val="00CB7282"/>
    <w:rsid w:val="00D70FD8"/>
    <w:rsid w:val="00EB64C9"/>
    <w:rsid w:val="00FF5C98"/>
    <w:rsid w:val="06BA054B"/>
    <w:rsid w:val="09E847AB"/>
    <w:rsid w:val="5E501EA9"/>
    <w:rsid w:val="64307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C98"/>
    <w:pPr>
      <w:ind w:left="720"/>
      <w:contextualSpacing/>
    </w:pPr>
  </w:style>
  <w:style w:type="table" w:styleId="TableGrid">
    <w:name w:val="Table Grid"/>
    <w:basedOn w:val="TableNormal"/>
    <w:uiPriority w:val="39"/>
    <w:rsid w:val="00C64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C98"/>
    <w:pPr>
      <w:ind w:left="720"/>
      <w:contextualSpacing/>
    </w:pPr>
  </w:style>
  <w:style w:type="table" w:styleId="TableGrid">
    <w:name w:val="Table Grid"/>
    <w:basedOn w:val="TableNormal"/>
    <w:uiPriority w:val="39"/>
    <w:rsid w:val="00C64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942820">
      <w:bodyDiv w:val="1"/>
      <w:marLeft w:val="0"/>
      <w:marRight w:val="0"/>
      <w:marTop w:val="0"/>
      <w:marBottom w:val="0"/>
      <w:divBdr>
        <w:top w:val="none" w:sz="0" w:space="0" w:color="auto"/>
        <w:left w:val="none" w:sz="0" w:space="0" w:color="auto"/>
        <w:bottom w:val="none" w:sz="0" w:space="0" w:color="auto"/>
        <w:right w:val="none" w:sz="0" w:space="0" w:color="auto"/>
      </w:divBdr>
      <w:divsChild>
        <w:div w:id="1769154083">
          <w:marLeft w:val="0"/>
          <w:marRight w:val="0"/>
          <w:marTop w:val="0"/>
          <w:marBottom w:val="0"/>
          <w:divBdr>
            <w:top w:val="none" w:sz="0" w:space="0" w:color="auto"/>
            <w:left w:val="none" w:sz="0" w:space="0" w:color="auto"/>
            <w:bottom w:val="none" w:sz="0" w:space="0" w:color="auto"/>
            <w:right w:val="none" w:sz="0" w:space="0" w:color="auto"/>
          </w:divBdr>
        </w:div>
        <w:div w:id="282536062">
          <w:marLeft w:val="0"/>
          <w:marRight w:val="0"/>
          <w:marTop w:val="0"/>
          <w:marBottom w:val="0"/>
          <w:divBdr>
            <w:top w:val="none" w:sz="0" w:space="0" w:color="auto"/>
            <w:left w:val="none" w:sz="0" w:space="0" w:color="auto"/>
            <w:bottom w:val="none" w:sz="0" w:space="0" w:color="auto"/>
            <w:right w:val="none" w:sz="0" w:space="0" w:color="auto"/>
          </w:divBdr>
        </w:div>
        <w:div w:id="1980182169">
          <w:marLeft w:val="0"/>
          <w:marRight w:val="0"/>
          <w:marTop w:val="0"/>
          <w:marBottom w:val="0"/>
          <w:divBdr>
            <w:top w:val="none" w:sz="0" w:space="0" w:color="auto"/>
            <w:left w:val="none" w:sz="0" w:space="0" w:color="auto"/>
            <w:bottom w:val="none" w:sz="0" w:space="0" w:color="auto"/>
            <w:right w:val="none" w:sz="0" w:space="0" w:color="auto"/>
          </w:divBdr>
        </w:div>
        <w:div w:id="1027177219">
          <w:marLeft w:val="0"/>
          <w:marRight w:val="0"/>
          <w:marTop w:val="0"/>
          <w:marBottom w:val="0"/>
          <w:divBdr>
            <w:top w:val="none" w:sz="0" w:space="0" w:color="auto"/>
            <w:left w:val="none" w:sz="0" w:space="0" w:color="auto"/>
            <w:bottom w:val="none" w:sz="0" w:space="0" w:color="auto"/>
            <w:right w:val="none" w:sz="0" w:space="0" w:color="auto"/>
          </w:divBdr>
        </w:div>
        <w:div w:id="1319267737">
          <w:marLeft w:val="0"/>
          <w:marRight w:val="0"/>
          <w:marTop w:val="0"/>
          <w:marBottom w:val="0"/>
          <w:divBdr>
            <w:top w:val="none" w:sz="0" w:space="0" w:color="auto"/>
            <w:left w:val="none" w:sz="0" w:space="0" w:color="auto"/>
            <w:bottom w:val="none" w:sz="0" w:space="0" w:color="auto"/>
            <w:right w:val="none" w:sz="0" w:space="0" w:color="auto"/>
          </w:divBdr>
        </w:div>
        <w:div w:id="1008483165">
          <w:marLeft w:val="0"/>
          <w:marRight w:val="0"/>
          <w:marTop w:val="0"/>
          <w:marBottom w:val="0"/>
          <w:divBdr>
            <w:top w:val="none" w:sz="0" w:space="0" w:color="auto"/>
            <w:left w:val="none" w:sz="0" w:space="0" w:color="auto"/>
            <w:bottom w:val="none" w:sz="0" w:space="0" w:color="auto"/>
            <w:right w:val="none" w:sz="0" w:space="0" w:color="auto"/>
          </w:divBdr>
        </w:div>
        <w:div w:id="1983651869">
          <w:marLeft w:val="0"/>
          <w:marRight w:val="0"/>
          <w:marTop w:val="0"/>
          <w:marBottom w:val="0"/>
          <w:divBdr>
            <w:top w:val="none" w:sz="0" w:space="0" w:color="auto"/>
            <w:left w:val="none" w:sz="0" w:space="0" w:color="auto"/>
            <w:bottom w:val="none" w:sz="0" w:space="0" w:color="auto"/>
            <w:right w:val="none" w:sz="0" w:space="0" w:color="auto"/>
          </w:divBdr>
        </w:div>
        <w:div w:id="488792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4648</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March</dc:creator>
  <cp:lastModifiedBy>Natalie</cp:lastModifiedBy>
  <cp:revision>2</cp:revision>
  <dcterms:created xsi:type="dcterms:W3CDTF">2021-06-11T15:36:00Z</dcterms:created>
  <dcterms:modified xsi:type="dcterms:W3CDTF">2021-06-11T15:36:00Z</dcterms:modified>
</cp:coreProperties>
</file>