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ACC3" w14:textId="4DD06611" w:rsidR="008D2698" w:rsidRDefault="002F1E2A">
      <w:bookmarkStart w:id="0" w:name="_GoBack"/>
      <w:bookmarkEnd w:id="0"/>
      <w:r w:rsidRPr="002F1E2A">
        <w:rPr>
          <w:i/>
          <w:noProof/>
          <w:sz w:val="24"/>
          <w:szCs w:val="24"/>
          <w:lang w:eastAsia="en-GB"/>
        </w:rPr>
        <w:drawing>
          <wp:anchor distT="0" distB="0" distL="114300" distR="114300" simplePos="0" relativeHeight="251658240" behindDoc="0" locked="0" layoutInCell="1" allowOverlap="1" wp14:anchorId="6E699AD8" wp14:editId="1F1F5E31">
            <wp:simplePos x="0" y="0"/>
            <wp:positionH relativeFrom="column">
              <wp:posOffset>6973747</wp:posOffset>
            </wp:positionH>
            <wp:positionV relativeFrom="paragraph">
              <wp:posOffset>-353028</wp:posOffset>
            </wp:positionV>
            <wp:extent cx="2378710" cy="955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710" cy="955040"/>
                    </a:xfrm>
                    <a:prstGeom prst="rect">
                      <a:avLst/>
                    </a:prstGeom>
                    <a:noFill/>
                    <a:ln>
                      <a:noFill/>
                    </a:ln>
                  </pic:spPr>
                </pic:pic>
              </a:graphicData>
            </a:graphic>
          </wp:anchor>
        </w:drawing>
      </w:r>
      <w:r w:rsidRPr="002F1E2A">
        <w:rPr>
          <w:sz w:val="36"/>
          <w:szCs w:val="36"/>
        </w:rPr>
        <w:t>SAPOE Discussion Recording Grid</w:t>
      </w:r>
      <w:r w:rsidRPr="002F1E2A">
        <w:rPr>
          <w:sz w:val="36"/>
          <w:szCs w:val="36"/>
        </w:rPr>
        <w:tab/>
      </w:r>
      <w:r>
        <w:tab/>
      </w:r>
      <w:r>
        <w:tab/>
      </w:r>
      <w:r>
        <w:tab/>
      </w:r>
      <w:r>
        <w:tab/>
      </w:r>
      <w:r>
        <w:tab/>
      </w:r>
    </w:p>
    <w:p w14:paraId="2FC84A62" w14:textId="6E515EF2" w:rsidR="002F1E2A" w:rsidRDefault="002F1E2A">
      <w:r>
        <w:t>08/06/21</w:t>
      </w:r>
    </w:p>
    <w:tbl>
      <w:tblPr>
        <w:tblStyle w:val="TableGrid"/>
        <w:tblW w:w="0" w:type="auto"/>
        <w:tblLook w:val="04A0" w:firstRow="1" w:lastRow="0" w:firstColumn="1" w:lastColumn="0" w:noHBand="0" w:noVBand="1"/>
      </w:tblPr>
      <w:tblGrid>
        <w:gridCol w:w="2263"/>
        <w:gridCol w:w="11685"/>
      </w:tblGrid>
      <w:tr w:rsidR="002F1E2A" w14:paraId="51B2683B" w14:textId="77777777" w:rsidTr="00DD484A">
        <w:tc>
          <w:tcPr>
            <w:tcW w:w="2263" w:type="dxa"/>
          </w:tcPr>
          <w:p w14:paraId="126E3069" w14:textId="3610AFDF" w:rsidR="002F1E2A" w:rsidRDefault="00DD484A">
            <w:r>
              <w:t>STATUS:</w:t>
            </w:r>
          </w:p>
        </w:tc>
        <w:tc>
          <w:tcPr>
            <w:tcW w:w="11685" w:type="dxa"/>
            <w:shd w:val="clear" w:color="auto" w:fill="FF0000"/>
          </w:tcPr>
          <w:p w14:paraId="2843F247" w14:textId="01E8D46D" w:rsidR="002F1E2A" w:rsidRPr="00DD484A" w:rsidRDefault="00DD484A">
            <w:pPr>
              <w:rPr>
                <w:color w:val="FFFFFF" w:themeColor="background1"/>
                <w:sz w:val="28"/>
                <w:szCs w:val="28"/>
              </w:rPr>
            </w:pPr>
            <w:r w:rsidRPr="00DD484A">
              <w:rPr>
                <w:color w:val="FFFFFF" w:themeColor="background1"/>
                <w:sz w:val="28"/>
                <w:szCs w:val="28"/>
              </w:rPr>
              <w:t>Shared across SAPOE</w:t>
            </w:r>
          </w:p>
        </w:tc>
      </w:tr>
    </w:tbl>
    <w:p w14:paraId="22245C3D" w14:textId="69174DEC" w:rsidR="00A611BD" w:rsidRDefault="00A611BD"/>
    <w:tbl>
      <w:tblPr>
        <w:tblStyle w:val="TableGrid"/>
        <w:tblW w:w="0" w:type="auto"/>
        <w:tblLook w:val="04A0" w:firstRow="1" w:lastRow="0" w:firstColumn="1" w:lastColumn="0" w:noHBand="0" w:noVBand="1"/>
      </w:tblPr>
      <w:tblGrid>
        <w:gridCol w:w="1271"/>
        <w:gridCol w:w="12677"/>
      </w:tblGrid>
      <w:tr w:rsidR="00CB7621" w14:paraId="23802F6B" w14:textId="77777777" w:rsidTr="00CB7621">
        <w:tc>
          <w:tcPr>
            <w:tcW w:w="1271" w:type="dxa"/>
          </w:tcPr>
          <w:p w14:paraId="69EC610A" w14:textId="204AE09D" w:rsidR="00CB7621" w:rsidRDefault="00CB7621">
            <w:r>
              <w:t xml:space="preserve">Context: </w:t>
            </w:r>
          </w:p>
        </w:tc>
        <w:tc>
          <w:tcPr>
            <w:tcW w:w="12677" w:type="dxa"/>
          </w:tcPr>
          <w:p w14:paraId="604821FF" w14:textId="5BC27DAF" w:rsidR="00CB7621" w:rsidRDefault="00EE074A">
            <w:r>
              <w:t>Responses from 12 LAs</w:t>
            </w:r>
            <w:r w:rsidR="00075827">
              <w:t xml:space="preserve">, plus 2 persons from non-LAs. </w:t>
            </w:r>
          </w:p>
          <w:p w14:paraId="2C53BCD6" w14:textId="637BD60F" w:rsidR="00EE074A" w:rsidRDefault="00EE074A"/>
        </w:tc>
      </w:tr>
    </w:tbl>
    <w:p w14:paraId="6A877C10" w14:textId="3FAA5530" w:rsidR="00CA680D" w:rsidRDefault="00CA680D"/>
    <w:tbl>
      <w:tblPr>
        <w:tblStyle w:val="TableGrid"/>
        <w:tblW w:w="15590" w:type="dxa"/>
        <w:tblInd w:w="-856" w:type="dxa"/>
        <w:tblLook w:val="04A0" w:firstRow="1" w:lastRow="0" w:firstColumn="1" w:lastColumn="0" w:noHBand="0" w:noVBand="1"/>
      </w:tblPr>
      <w:tblGrid>
        <w:gridCol w:w="4169"/>
        <w:gridCol w:w="5518"/>
        <w:gridCol w:w="5903"/>
      </w:tblGrid>
      <w:tr w:rsidR="00C67917" w14:paraId="7C38CA11" w14:textId="77777777" w:rsidTr="00E12BDE">
        <w:tc>
          <w:tcPr>
            <w:tcW w:w="4169" w:type="dxa"/>
            <w:vMerge w:val="restart"/>
          </w:tcPr>
          <w:p w14:paraId="47848E2E" w14:textId="77777777" w:rsidR="00C67917" w:rsidRDefault="00C67917" w:rsidP="0014031E">
            <w:r>
              <w:t>Local Authority</w:t>
            </w:r>
          </w:p>
          <w:p w14:paraId="434F6376" w14:textId="77777777" w:rsidR="00C67917" w:rsidRDefault="00C67917" w:rsidP="0014031E"/>
          <w:p w14:paraId="57A77D28" w14:textId="77777777" w:rsidR="00C67917" w:rsidRDefault="00C67917" w:rsidP="0014031E">
            <w:r>
              <w:t>(add extra lines if required)</w:t>
            </w:r>
          </w:p>
        </w:tc>
        <w:tc>
          <w:tcPr>
            <w:tcW w:w="11421" w:type="dxa"/>
            <w:gridSpan w:val="2"/>
            <w:shd w:val="clear" w:color="auto" w:fill="FFFF00"/>
          </w:tcPr>
          <w:p w14:paraId="539A5FE4" w14:textId="77777777" w:rsidR="00CB7621" w:rsidRPr="00E12BDE" w:rsidRDefault="00CB7621" w:rsidP="0014031E">
            <w:pPr>
              <w:rPr>
                <w:rFonts w:cs="Calibri"/>
                <w:b/>
                <w:bCs/>
                <w:color w:val="538135" w:themeColor="accent6" w:themeShade="BF"/>
                <w:sz w:val="36"/>
                <w:szCs w:val="36"/>
                <w:u w:val="single"/>
              </w:rPr>
            </w:pPr>
            <w:r w:rsidRPr="00E12BDE">
              <w:rPr>
                <w:rFonts w:cs="Calibri"/>
                <w:b/>
                <w:bCs/>
                <w:color w:val="538135" w:themeColor="accent6" w:themeShade="BF"/>
                <w:sz w:val="36"/>
                <w:szCs w:val="36"/>
                <w:u w:val="single"/>
              </w:rPr>
              <w:t>Question 1</w:t>
            </w:r>
          </w:p>
          <w:p w14:paraId="7210C977" w14:textId="77777777" w:rsidR="00CB7621" w:rsidRDefault="00CB7621" w:rsidP="0014031E">
            <w:pPr>
              <w:rPr>
                <w:rFonts w:cs="Calibri"/>
              </w:rPr>
            </w:pPr>
          </w:p>
          <w:p w14:paraId="4F7958D2" w14:textId="645D8053" w:rsidR="00C67917" w:rsidRDefault="00C67917" w:rsidP="0014031E">
            <w:pPr>
              <w:rPr>
                <w:rFonts w:cs="Calibri"/>
              </w:rPr>
            </w:pPr>
            <w:r>
              <w:rPr>
                <w:rFonts w:cs="Calibri"/>
              </w:rPr>
              <w:t>How is your LA promoting and delivering different kinds of OL?</w:t>
            </w:r>
          </w:p>
          <w:p w14:paraId="7D5162B3" w14:textId="77777777" w:rsidR="00C67917" w:rsidRDefault="00C67917" w:rsidP="0014031E">
            <w:pPr>
              <w:rPr>
                <w:rFonts w:cs="Calibri"/>
              </w:rPr>
            </w:pPr>
          </w:p>
          <w:p w14:paraId="36447B3E" w14:textId="77777777" w:rsidR="00C67917" w:rsidRDefault="00C67917" w:rsidP="0014031E">
            <w:r>
              <w:rPr>
                <w:rFonts w:cs="Calibri"/>
              </w:rPr>
              <w:t xml:space="preserve">Prompts – what is and is not permitted and being planned? </w:t>
            </w:r>
          </w:p>
        </w:tc>
      </w:tr>
      <w:tr w:rsidR="00C67917" w14:paraId="547BE5D9" w14:textId="77777777" w:rsidTr="00E12BDE">
        <w:tc>
          <w:tcPr>
            <w:tcW w:w="4169" w:type="dxa"/>
            <w:vMerge/>
          </w:tcPr>
          <w:p w14:paraId="29ACF87F" w14:textId="77777777" w:rsidR="00C67917" w:rsidRDefault="00C67917" w:rsidP="0014031E"/>
        </w:tc>
        <w:tc>
          <w:tcPr>
            <w:tcW w:w="5518" w:type="dxa"/>
            <w:shd w:val="clear" w:color="auto" w:fill="FFF2CC" w:themeFill="accent4" w:themeFillTint="33"/>
          </w:tcPr>
          <w:p w14:paraId="6BC5DF99" w14:textId="1C67B8D4" w:rsidR="00C67917" w:rsidRDefault="00CB7621" w:rsidP="0014031E">
            <w:r>
              <w:t xml:space="preserve">Q1.1 </w:t>
            </w:r>
            <w:r w:rsidR="00C67917">
              <w:t>Pre-Summer</w:t>
            </w:r>
          </w:p>
        </w:tc>
        <w:tc>
          <w:tcPr>
            <w:tcW w:w="5903" w:type="dxa"/>
            <w:shd w:val="clear" w:color="auto" w:fill="FFF2CC" w:themeFill="accent4" w:themeFillTint="33"/>
          </w:tcPr>
          <w:p w14:paraId="211FEB04" w14:textId="5A9777FC" w:rsidR="00C67917" w:rsidRDefault="00CB7621" w:rsidP="0014031E">
            <w:pPr>
              <w:pStyle w:val="NoSpacing"/>
              <w:rPr>
                <w:rFonts w:cs="Calibri"/>
              </w:rPr>
            </w:pPr>
            <w:r>
              <w:rPr>
                <w:rFonts w:cs="Calibri"/>
              </w:rPr>
              <w:t xml:space="preserve">Q1.2 </w:t>
            </w:r>
            <w:r w:rsidR="00C67917">
              <w:rPr>
                <w:rFonts w:cs="Calibri"/>
              </w:rPr>
              <w:t>August 2021 onwards?</w:t>
            </w:r>
          </w:p>
          <w:p w14:paraId="6087CACC" w14:textId="77777777" w:rsidR="00C67917" w:rsidRDefault="00C67917" w:rsidP="0014031E"/>
        </w:tc>
      </w:tr>
      <w:tr w:rsidR="00C67917" w:rsidRPr="00A97AA5" w14:paraId="2B9095CC" w14:textId="77777777" w:rsidTr="00B00D7B">
        <w:tc>
          <w:tcPr>
            <w:tcW w:w="4169" w:type="dxa"/>
            <w:shd w:val="clear" w:color="auto" w:fill="D9D9D9" w:themeFill="background1" w:themeFillShade="D9"/>
          </w:tcPr>
          <w:p w14:paraId="302DABB2" w14:textId="77777777" w:rsidR="00C67917" w:rsidRPr="00350C5C" w:rsidRDefault="00C67917" w:rsidP="0014031E">
            <w:pPr>
              <w:rPr>
                <w:b/>
                <w:bCs/>
                <w:sz w:val="28"/>
                <w:szCs w:val="28"/>
              </w:rPr>
            </w:pPr>
            <w:r w:rsidRPr="00350C5C">
              <w:rPr>
                <w:b/>
                <w:bCs/>
                <w:sz w:val="28"/>
                <w:szCs w:val="28"/>
              </w:rPr>
              <w:t>Routine and regular local</w:t>
            </w:r>
          </w:p>
        </w:tc>
        <w:tc>
          <w:tcPr>
            <w:tcW w:w="5518" w:type="dxa"/>
          </w:tcPr>
          <w:p w14:paraId="25B4F478" w14:textId="3FF4B12A" w:rsidR="00C67917" w:rsidRPr="00350C5C" w:rsidRDefault="00C67917" w:rsidP="0014031E">
            <w:pPr>
              <w:rPr>
                <w:rFonts w:cstheme="minorHAnsi"/>
              </w:rPr>
            </w:pPr>
            <w:r w:rsidRPr="00350C5C">
              <w:rPr>
                <w:rFonts w:cstheme="minorHAnsi"/>
              </w:rPr>
              <w:t xml:space="preserve">Most responses indicated </w:t>
            </w:r>
            <w:r w:rsidR="00D06CF0" w:rsidRPr="00350C5C">
              <w:rPr>
                <w:rFonts w:cstheme="minorHAnsi"/>
              </w:rPr>
              <w:t xml:space="preserve">the ‘relaxation’ of restrictions and local </w:t>
            </w:r>
            <w:r w:rsidR="00C85C8C" w:rsidRPr="00350C5C">
              <w:rPr>
                <w:rFonts w:cstheme="minorHAnsi"/>
              </w:rPr>
              <w:t>OL</w:t>
            </w:r>
            <w:r w:rsidR="00D06CF0" w:rsidRPr="00350C5C">
              <w:rPr>
                <w:rFonts w:cstheme="minorHAnsi"/>
              </w:rPr>
              <w:t xml:space="preserve"> encouraged. </w:t>
            </w:r>
            <w:r w:rsidR="001B12EA" w:rsidRPr="00350C5C">
              <w:rPr>
                <w:rFonts w:cstheme="minorHAnsi"/>
              </w:rPr>
              <w:t xml:space="preserve">Significant demand for support and </w:t>
            </w:r>
            <w:r w:rsidR="00AA4639" w:rsidRPr="00350C5C">
              <w:rPr>
                <w:rFonts w:cstheme="minorHAnsi"/>
              </w:rPr>
              <w:t xml:space="preserve">OL Teams providing new locations or using existing spaces differently. </w:t>
            </w:r>
          </w:p>
          <w:p w14:paraId="454E0EA4" w14:textId="5E9490D4" w:rsidR="008A2B75" w:rsidRPr="00350C5C" w:rsidRDefault="008A2B75" w:rsidP="0014031E">
            <w:pPr>
              <w:rPr>
                <w:rFonts w:cstheme="minorHAnsi"/>
              </w:rPr>
            </w:pPr>
          </w:p>
          <w:p w14:paraId="0484FA66" w14:textId="4E1D0680" w:rsidR="008A2B75" w:rsidRPr="00350C5C" w:rsidRDefault="00C85C8C" w:rsidP="0014031E">
            <w:pPr>
              <w:rPr>
                <w:rFonts w:cstheme="minorHAnsi"/>
              </w:rPr>
            </w:pPr>
            <w:r w:rsidRPr="00350C5C">
              <w:rPr>
                <w:rFonts w:cstheme="minorHAnsi"/>
              </w:rPr>
              <w:t>As well as universal use of outdoor learning, many responses detailed the use of OL with targeted groups e.g. Additional Support Needs</w:t>
            </w:r>
            <w:r w:rsidR="004105D7" w:rsidRPr="00350C5C">
              <w:rPr>
                <w:rFonts w:cstheme="minorHAnsi"/>
              </w:rPr>
              <w:t>, P7 transition</w:t>
            </w:r>
            <w:r w:rsidR="008B48EB" w:rsidRPr="00350C5C">
              <w:rPr>
                <w:rFonts w:cstheme="minorHAnsi"/>
              </w:rPr>
              <w:t>, social work/care and community learning.</w:t>
            </w:r>
          </w:p>
          <w:p w14:paraId="6697D757" w14:textId="047050CD" w:rsidR="00E061E6" w:rsidRPr="00350C5C" w:rsidRDefault="00E061E6" w:rsidP="0014031E">
            <w:pPr>
              <w:rPr>
                <w:rFonts w:cstheme="minorHAnsi"/>
              </w:rPr>
            </w:pPr>
            <w:r w:rsidRPr="00350C5C">
              <w:rPr>
                <w:rFonts w:cstheme="minorHAnsi"/>
              </w:rPr>
              <w:t>Some responses detailed specific OL programmes e.g. P7 transition</w:t>
            </w:r>
            <w:r w:rsidR="00E2618D" w:rsidRPr="00350C5C">
              <w:rPr>
                <w:rFonts w:cstheme="minorHAnsi"/>
              </w:rPr>
              <w:t>,</w:t>
            </w:r>
            <w:r w:rsidR="00254707" w:rsidRPr="00350C5C">
              <w:rPr>
                <w:rFonts w:cstheme="minorHAnsi"/>
              </w:rPr>
              <w:t xml:space="preserve"> an ‘OL week’</w:t>
            </w:r>
            <w:r w:rsidR="004C6F4E" w:rsidRPr="00350C5C">
              <w:rPr>
                <w:rFonts w:cstheme="minorHAnsi"/>
              </w:rPr>
              <w:t xml:space="preserve">, ‘Adventure week’ </w:t>
            </w:r>
            <w:r w:rsidR="00E2618D" w:rsidRPr="00350C5C">
              <w:rPr>
                <w:rFonts w:cstheme="minorHAnsi"/>
              </w:rPr>
              <w:t>and a ‘Vulnerable Person programme</w:t>
            </w:r>
            <w:r w:rsidR="004C6F4E" w:rsidRPr="00350C5C">
              <w:rPr>
                <w:rFonts w:cstheme="minorHAnsi"/>
              </w:rPr>
              <w:t>’</w:t>
            </w:r>
            <w:r w:rsidR="00E2618D" w:rsidRPr="00350C5C">
              <w:rPr>
                <w:rFonts w:cstheme="minorHAnsi"/>
              </w:rPr>
              <w:t xml:space="preserve"> (year-long)</w:t>
            </w:r>
            <w:r w:rsidRPr="00350C5C">
              <w:rPr>
                <w:rFonts w:cstheme="minorHAnsi"/>
              </w:rPr>
              <w:t xml:space="preserve">. </w:t>
            </w:r>
          </w:p>
          <w:p w14:paraId="3BBD1E06" w14:textId="77777777" w:rsidR="000B147B" w:rsidRPr="00350C5C" w:rsidRDefault="000B147B" w:rsidP="0014031E">
            <w:pPr>
              <w:rPr>
                <w:rFonts w:cstheme="minorHAnsi"/>
              </w:rPr>
            </w:pPr>
          </w:p>
          <w:p w14:paraId="150E1741" w14:textId="677B4C1B" w:rsidR="00D911BA" w:rsidRPr="00350C5C" w:rsidRDefault="00D911BA" w:rsidP="0014031E">
            <w:pPr>
              <w:rPr>
                <w:rFonts w:cstheme="minorHAnsi"/>
              </w:rPr>
            </w:pPr>
            <w:r w:rsidRPr="00350C5C">
              <w:rPr>
                <w:rFonts w:cstheme="minorHAnsi"/>
              </w:rPr>
              <w:t>A significant number of responses reported very busy provision e.g. ‘busier than ever’</w:t>
            </w:r>
            <w:r w:rsidR="00744E69" w:rsidRPr="00350C5C">
              <w:rPr>
                <w:rFonts w:cstheme="minorHAnsi"/>
              </w:rPr>
              <w:t xml:space="preserve">, ‘additional staff recruited’ and ‘using partners’ to take advantage of need and funding. </w:t>
            </w:r>
          </w:p>
          <w:p w14:paraId="00238EFD" w14:textId="6F3137F4" w:rsidR="00230F00" w:rsidRPr="00350C5C" w:rsidRDefault="00230F00" w:rsidP="0014031E">
            <w:pPr>
              <w:rPr>
                <w:rFonts w:cstheme="minorHAnsi"/>
              </w:rPr>
            </w:pPr>
          </w:p>
          <w:p w14:paraId="4E3C86C0" w14:textId="2EA21A93" w:rsidR="00230F00" w:rsidRPr="00350C5C" w:rsidRDefault="00230F00" w:rsidP="0014031E">
            <w:pPr>
              <w:rPr>
                <w:rFonts w:cstheme="minorHAnsi"/>
              </w:rPr>
            </w:pPr>
            <w:r w:rsidRPr="00350C5C">
              <w:rPr>
                <w:rFonts w:cstheme="minorHAnsi"/>
              </w:rPr>
              <w:t>Examples of specific activities being developed e.g. Bikeability</w:t>
            </w:r>
            <w:r w:rsidR="00A03743" w:rsidRPr="00350C5C">
              <w:rPr>
                <w:rFonts w:cstheme="minorHAnsi"/>
              </w:rPr>
              <w:t xml:space="preserve"> and orienteering. </w:t>
            </w:r>
          </w:p>
          <w:p w14:paraId="63209AC9" w14:textId="2A1372C4" w:rsidR="00D06CF0" w:rsidRPr="00350C5C" w:rsidRDefault="00D06CF0" w:rsidP="0014031E">
            <w:pPr>
              <w:rPr>
                <w:rFonts w:cstheme="minorHAnsi"/>
              </w:rPr>
            </w:pPr>
          </w:p>
        </w:tc>
        <w:tc>
          <w:tcPr>
            <w:tcW w:w="5903" w:type="dxa"/>
          </w:tcPr>
          <w:p w14:paraId="3A164983" w14:textId="77777777" w:rsidR="00145585" w:rsidRPr="00350C5C" w:rsidRDefault="00145585" w:rsidP="0014031E">
            <w:pPr>
              <w:rPr>
                <w:rFonts w:cstheme="minorHAnsi"/>
              </w:rPr>
            </w:pPr>
            <w:r w:rsidRPr="00350C5C">
              <w:rPr>
                <w:rFonts w:cstheme="minorHAnsi"/>
              </w:rPr>
              <w:t xml:space="preserve">Many responses indicated significant demand. </w:t>
            </w:r>
          </w:p>
          <w:p w14:paraId="4D541BDC" w14:textId="77777777" w:rsidR="00145585" w:rsidRPr="00350C5C" w:rsidRDefault="00145585" w:rsidP="0014031E">
            <w:pPr>
              <w:rPr>
                <w:rFonts w:cstheme="minorHAnsi"/>
              </w:rPr>
            </w:pPr>
          </w:p>
          <w:p w14:paraId="6F88F564" w14:textId="72EA7AA4" w:rsidR="00C67917" w:rsidRPr="00350C5C" w:rsidRDefault="00B00D7B" w:rsidP="0014031E">
            <w:pPr>
              <w:rPr>
                <w:rFonts w:cstheme="minorHAnsi"/>
              </w:rPr>
            </w:pPr>
            <w:r w:rsidRPr="00350C5C">
              <w:rPr>
                <w:rFonts w:cstheme="minorHAnsi"/>
              </w:rPr>
              <w:t>R</w:t>
            </w:r>
            <w:r w:rsidR="007C7FFA" w:rsidRPr="00350C5C">
              <w:rPr>
                <w:rFonts w:cstheme="minorHAnsi"/>
              </w:rPr>
              <w:t xml:space="preserve">esponses indicated holiday programmes being planned, including the use of the new SG summer funding. </w:t>
            </w:r>
            <w:r w:rsidR="004D0A05" w:rsidRPr="00350C5C">
              <w:rPr>
                <w:rFonts w:cstheme="minorHAnsi"/>
              </w:rPr>
              <w:t>One</w:t>
            </w:r>
            <w:r w:rsidR="007C7FFA" w:rsidRPr="00350C5C">
              <w:rPr>
                <w:rFonts w:cstheme="minorHAnsi"/>
              </w:rPr>
              <w:t xml:space="preserve"> response indicated </w:t>
            </w:r>
            <w:r w:rsidR="009B73A0" w:rsidRPr="00350C5C">
              <w:rPr>
                <w:rFonts w:cstheme="minorHAnsi"/>
              </w:rPr>
              <w:t xml:space="preserve">that CLD were taking this responsibility. </w:t>
            </w:r>
          </w:p>
          <w:p w14:paraId="62CD2311" w14:textId="6F2B58E0" w:rsidR="007A4F72" w:rsidRPr="00350C5C" w:rsidRDefault="007A4F72" w:rsidP="0014031E">
            <w:pPr>
              <w:rPr>
                <w:rFonts w:cstheme="minorHAnsi"/>
              </w:rPr>
            </w:pPr>
          </w:p>
          <w:p w14:paraId="6CFD8AC6" w14:textId="2B279C1E" w:rsidR="00B0661F" w:rsidRPr="00350C5C" w:rsidRDefault="00B0661F" w:rsidP="0014031E">
            <w:pPr>
              <w:rPr>
                <w:rFonts w:cstheme="minorHAnsi"/>
              </w:rPr>
            </w:pPr>
            <w:r w:rsidRPr="00350C5C">
              <w:rPr>
                <w:rFonts w:cstheme="minorHAnsi"/>
              </w:rPr>
              <w:t xml:space="preserve">Specific examples of new / revised programmes in response to COVID e.g. ‘nurture programmes’ </w:t>
            </w:r>
          </w:p>
          <w:p w14:paraId="13C17751" w14:textId="77777777" w:rsidR="00145585" w:rsidRPr="00350C5C" w:rsidRDefault="00145585" w:rsidP="0014031E">
            <w:pPr>
              <w:rPr>
                <w:rFonts w:cstheme="minorHAnsi"/>
              </w:rPr>
            </w:pPr>
          </w:p>
          <w:p w14:paraId="74DF0A07" w14:textId="5892CE34" w:rsidR="00145585" w:rsidRPr="00350C5C" w:rsidRDefault="00145585" w:rsidP="0014031E">
            <w:pPr>
              <w:rPr>
                <w:rFonts w:cstheme="minorHAnsi"/>
              </w:rPr>
            </w:pPr>
          </w:p>
        </w:tc>
      </w:tr>
      <w:tr w:rsidR="00C67917" w:rsidRPr="00A97AA5" w14:paraId="6E824C29" w14:textId="77777777" w:rsidTr="00B00D7B">
        <w:tc>
          <w:tcPr>
            <w:tcW w:w="4169" w:type="dxa"/>
            <w:shd w:val="clear" w:color="auto" w:fill="D9D9D9" w:themeFill="background1" w:themeFillShade="D9"/>
          </w:tcPr>
          <w:p w14:paraId="64CF7246" w14:textId="77777777" w:rsidR="00C67917" w:rsidRPr="00350C5C" w:rsidRDefault="00C67917" w:rsidP="0014031E">
            <w:pPr>
              <w:rPr>
                <w:b/>
                <w:bCs/>
                <w:sz w:val="28"/>
                <w:szCs w:val="28"/>
              </w:rPr>
            </w:pPr>
            <w:r w:rsidRPr="00350C5C">
              <w:rPr>
                <w:b/>
                <w:bCs/>
                <w:sz w:val="28"/>
                <w:szCs w:val="28"/>
              </w:rPr>
              <w:lastRenderedPageBreak/>
              <w:t>Day visits</w:t>
            </w:r>
          </w:p>
        </w:tc>
        <w:tc>
          <w:tcPr>
            <w:tcW w:w="5518" w:type="dxa"/>
          </w:tcPr>
          <w:p w14:paraId="4ED0E769" w14:textId="59D5643C" w:rsidR="00C67917" w:rsidRPr="00350C5C" w:rsidRDefault="003C6139" w:rsidP="0014031E">
            <w:pPr>
              <w:rPr>
                <w:rFonts w:cstheme="minorHAnsi"/>
              </w:rPr>
            </w:pPr>
            <w:r w:rsidRPr="00350C5C">
              <w:rPr>
                <w:rFonts w:cstheme="minorHAnsi"/>
              </w:rPr>
              <w:t xml:space="preserve">Generally allowed. </w:t>
            </w:r>
            <w:r w:rsidR="00390E6C" w:rsidRPr="00350C5C">
              <w:rPr>
                <w:rFonts w:cstheme="minorHAnsi"/>
              </w:rPr>
              <w:t xml:space="preserve">A </w:t>
            </w:r>
            <w:r w:rsidR="003C50FF" w:rsidRPr="00350C5C">
              <w:rPr>
                <w:rFonts w:cstheme="minorHAnsi"/>
              </w:rPr>
              <w:t xml:space="preserve">small number of LAs not permitting </w:t>
            </w:r>
            <w:r w:rsidR="004B3E37" w:rsidRPr="00350C5C">
              <w:rPr>
                <w:rFonts w:cstheme="minorHAnsi"/>
              </w:rPr>
              <w:t xml:space="preserve">‘universal’ </w:t>
            </w:r>
            <w:r w:rsidR="003C50FF" w:rsidRPr="00350C5C">
              <w:rPr>
                <w:rFonts w:cstheme="minorHAnsi"/>
              </w:rPr>
              <w:t xml:space="preserve">day visits or with significant conditions e.g. distance. </w:t>
            </w:r>
          </w:p>
          <w:p w14:paraId="6A2292BF" w14:textId="77777777" w:rsidR="00D221C3" w:rsidRPr="00350C5C" w:rsidRDefault="00D221C3" w:rsidP="0014031E">
            <w:pPr>
              <w:rPr>
                <w:rFonts w:cstheme="minorHAnsi"/>
              </w:rPr>
            </w:pPr>
          </w:p>
          <w:p w14:paraId="75777E9F" w14:textId="26243043" w:rsidR="00D36394" w:rsidRPr="00350C5C" w:rsidRDefault="00AF0CCD" w:rsidP="0014031E">
            <w:pPr>
              <w:rPr>
                <w:rFonts w:cstheme="minorHAnsi"/>
              </w:rPr>
            </w:pPr>
            <w:r w:rsidRPr="00350C5C">
              <w:rPr>
                <w:rFonts w:cstheme="minorHAnsi"/>
              </w:rPr>
              <w:t xml:space="preserve">Examples </w:t>
            </w:r>
            <w:r w:rsidR="00D221C3" w:rsidRPr="00350C5C">
              <w:rPr>
                <w:rFonts w:cstheme="minorHAnsi"/>
              </w:rPr>
              <w:t>include visits to Outdoor Education Centres</w:t>
            </w:r>
            <w:r w:rsidR="00D82DE2" w:rsidRPr="00350C5C">
              <w:rPr>
                <w:rFonts w:cstheme="minorHAnsi"/>
              </w:rPr>
              <w:t xml:space="preserve"> and</w:t>
            </w:r>
            <w:r w:rsidR="00D221C3" w:rsidRPr="00350C5C">
              <w:rPr>
                <w:rFonts w:cstheme="minorHAnsi"/>
              </w:rPr>
              <w:t xml:space="preserve"> DofE expeditions</w:t>
            </w:r>
            <w:r w:rsidR="00D82DE2" w:rsidRPr="00350C5C">
              <w:rPr>
                <w:rFonts w:cstheme="minorHAnsi"/>
              </w:rPr>
              <w:t xml:space="preserve">. </w:t>
            </w:r>
          </w:p>
          <w:p w14:paraId="555C40EC" w14:textId="4F337B9E" w:rsidR="00E512AD" w:rsidRPr="00350C5C" w:rsidRDefault="00E512AD" w:rsidP="0014031E">
            <w:pPr>
              <w:rPr>
                <w:rFonts w:cstheme="minorHAnsi"/>
              </w:rPr>
            </w:pPr>
          </w:p>
          <w:p w14:paraId="051A4D18" w14:textId="0A5497EA" w:rsidR="00E512AD" w:rsidRPr="00350C5C" w:rsidRDefault="00E512AD" w:rsidP="0014031E">
            <w:pPr>
              <w:rPr>
                <w:rFonts w:cstheme="minorHAnsi"/>
              </w:rPr>
            </w:pPr>
            <w:r w:rsidRPr="00350C5C">
              <w:rPr>
                <w:rFonts w:cstheme="minorHAnsi"/>
              </w:rPr>
              <w:t xml:space="preserve">DofE provision of some sort </w:t>
            </w:r>
            <w:r w:rsidR="00C93241" w:rsidRPr="00350C5C">
              <w:rPr>
                <w:rFonts w:cstheme="minorHAnsi"/>
              </w:rPr>
              <w:t xml:space="preserve">mentioned in several responses. </w:t>
            </w:r>
          </w:p>
          <w:p w14:paraId="45863EB1" w14:textId="4A1FDE92" w:rsidR="00684623" w:rsidRPr="00350C5C" w:rsidRDefault="00684623" w:rsidP="0014031E">
            <w:pPr>
              <w:rPr>
                <w:rFonts w:cstheme="minorHAnsi"/>
              </w:rPr>
            </w:pPr>
          </w:p>
          <w:p w14:paraId="055FC5FE" w14:textId="66FC3B30" w:rsidR="001B2DB6" w:rsidRPr="00350C5C" w:rsidRDefault="001B2DB6" w:rsidP="0014031E">
            <w:pPr>
              <w:rPr>
                <w:rFonts w:cstheme="minorHAnsi"/>
              </w:rPr>
            </w:pPr>
          </w:p>
        </w:tc>
        <w:tc>
          <w:tcPr>
            <w:tcW w:w="5903" w:type="dxa"/>
          </w:tcPr>
          <w:p w14:paraId="35635FEA" w14:textId="77777777" w:rsidR="00145585" w:rsidRPr="00350C5C" w:rsidRDefault="00145585" w:rsidP="00145585">
            <w:pPr>
              <w:rPr>
                <w:rFonts w:cstheme="minorHAnsi"/>
              </w:rPr>
            </w:pPr>
            <w:r w:rsidRPr="00350C5C">
              <w:rPr>
                <w:rFonts w:cstheme="minorHAnsi"/>
              </w:rPr>
              <w:t xml:space="preserve">Many responses indicated significant demand. </w:t>
            </w:r>
          </w:p>
          <w:p w14:paraId="3FDEE1FF" w14:textId="77777777" w:rsidR="00145585" w:rsidRPr="00350C5C" w:rsidRDefault="00145585" w:rsidP="0014031E">
            <w:pPr>
              <w:rPr>
                <w:rFonts w:cstheme="minorHAnsi"/>
              </w:rPr>
            </w:pPr>
          </w:p>
          <w:p w14:paraId="6695A993" w14:textId="77777777" w:rsidR="004D0A05" w:rsidRPr="00350C5C" w:rsidRDefault="00567C48" w:rsidP="004D0A05">
            <w:pPr>
              <w:rPr>
                <w:rFonts w:cstheme="minorHAnsi"/>
              </w:rPr>
            </w:pPr>
            <w:r w:rsidRPr="00350C5C">
              <w:rPr>
                <w:rFonts w:cstheme="minorHAnsi"/>
              </w:rPr>
              <w:t xml:space="preserve">Some responses indicated holiday programmes being planned, including the use of the </w:t>
            </w:r>
            <w:r w:rsidR="007C7FFA" w:rsidRPr="00350C5C">
              <w:rPr>
                <w:rFonts w:cstheme="minorHAnsi"/>
              </w:rPr>
              <w:t xml:space="preserve">new SG summer funding. </w:t>
            </w:r>
            <w:r w:rsidR="004D0A05" w:rsidRPr="00350C5C">
              <w:rPr>
                <w:rFonts w:cstheme="minorHAnsi"/>
              </w:rPr>
              <w:t xml:space="preserve">One response indicated that CLD were taking this responsibility. </w:t>
            </w:r>
          </w:p>
          <w:p w14:paraId="4BBC17F2" w14:textId="16974891" w:rsidR="003F37EA" w:rsidRPr="00350C5C" w:rsidRDefault="003F37EA" w:rsidP="003F37EA">
            <w:pPr>
              <w:rPr>
                <w:rFonts w:cstheme="minorHAnsi"/>
              </w:rPr>
            </w:pPr>
          </w:p>
          <w:p w14:paraId="44AD4221" w14:textId="77777777" w:rsidR="003F37EA" w:rsidRPr="00350C5C" w:rsidRDefault="003F37EA" w:rsidP="003F37EA">
            <w:pPr>
              <w:rPr>
                <w:rFonts w:cstheme="minorHAnsi"/>
              </w:rPr>
            </w:pPr>
          </w:p>
          <w:p w14:paraId="15722300" w14:textId="79904A84" w:rsidR="003F37EA" w:rsidRPr="00350C5C" w:rsidRDefault="003F37EA" w:rsidP="003F37EA">
            <w:pPr>
              <w:rPr>
                <w:rFonts w:cstheme="minorHAnsi"/>
              </w:rPr>
            </w:pPr>
            <w:r w:rsidRPr="00350C5C">
              <w:rPr>
                <w:rFonts w:cstheme="minorHAnsi"/>
              </w:rPr>
              <w:t>One response indicated the intention of ‘normal opening’</w:t>
            </w:r>
            <w:r w:rsidR="00597350" w:rsidRPr="00350C5C">
              <w:rPr>
                <w:rFonts w:cstheme="minorHAnsi"/>
              </w:rPr>
              <w:t xml:space="preserve"> after the Summer Holiday</w:t>
            </w:r>
            <w:r w:rsidRPr="00350C5C">
              <w:rPr>
                <w:rFonts w:cstheme="minorHAnsi"/>
              </w:rPr>
              <w:t xml:space="preserve">. </w:t>
            </w:r>
          </w:p>
          <w:p w14:paraId="44289399" w14:textId="63B32B92" w:rsidR="00EA3F32" w:rsidRPr="00350C5C" w:rsidRDefault="00EA3F32" w:rsidP="003F37EA">
            <w:pPr>
              <w:rPr>
                <w:rFonts w:cstheme="minorHAnsi"/>
              </w:rPr>
            </w:pPr>
          </w:p>
          <w:p w14:paraId="6B9B7BD1" w14:textId="4383E13F" w:rsidR="00EA3F32" w:rsidRPr="00350C5C" w:rsidRDefault="00EA3F32" w:rsidP="003F37EA">
            <w:pPr>
              <w:rPr>
                <w:rFonts w:cstheme="minorHAnsi"/>
              </w:rPr>
            </w:pPr>
            <w:r w:rsidRPr="00350C5C">
              <w:rPr>
                <w:rFonts w:cstheme="minorHAnsi"/>
              </w:rPr>
              <w:t xml:space="preserve">Some responses indicating an expansion of the DofE programme; depending on guidance. </w:t>
            </w:r>
            <w:r w:rsidR="00115644" w:rsidRPr="00350C5C">
              <w:rPr>
                <w:rFonts w:cstheme="minorHAnsi"/>
              </w:rPr>
              <w:t xml:space="preserve">Examples provided of using locations close to </w:t>
            </w:r>
            <w:r w:rsidR="009C2493" w:rsidRPr="00350C5C">
              <w:rPr>
                <w:rFonts w:cstheme="minorHAnsi"/>
              </w:rPr>
              <w:t xml:space="preserve">‘home’ e.g. ‘urban expeditions’. </w:t>
            </w:r>
          </w:p>
          <w:p w14:paraId="463B5D97" w14:textId="56B57F28" w:rsidR="00C67917" w:rsidRPr="00350C5C" w:rsidRDefault="00C67917" w:rsidP="0014031E">
            <w:pPr>
              <w:rPr>
                <w:rFonts w:cstheme="minorHAnsi"/>
              </w:rPr>
            </w:pPr>
          </w:p>
        </w:tc>
      </w:tr>
      <w:tr w:rsidR="00C67917" w:rsidRPr="00A97AA5" w14:paraId="1C6FABC2" w14:textId="77777777" w:rsidTr="00B00D7B">
        <w:tc>
          <w:tcPr>
            <w:tcW w:w="4169" w:type="dxa"/>
            <w:shd w:val="clear" w:color="auto" w:fill="D9D9D9" w:themeFill="background1" w:themeFillShade="D9"/>
          </w:tcPr>
          <w:p w14:paraId="441C4129" w14:textId="77777777" w:rsidR="00C67917" w:rsidRPr="00350C5C" w:rsidRDefault="00C67917" w:rsidP="0014031E">
            <w:pPr>
              <w:rPr>
                <w:b/>
                <w:bCs/>
                <w:sz w:val="28"/>
                <w:szCs w:val="28"/>
              </w:rPr>
            </w:pPr>
            <w:r w:rsidRPr="00350C5C">
              <w:rPr>
                <w:b/>
                <w:bCs/>
                <w:sz w:val="28"/>
                <w:szCs w:val="28"/>
              </w:rPr>
              <w:t>Residentials</w:t>
            </w:r>
          </w:p>
          <w:p w14:paraId="17B0A6BA" w14:textId="6A79220D" w:rsidR="008910D5" w:rsidRPr="00350C5C" w:rsidRDefault="008910D5" w:rsidP="0014031E">
            <w:pPr>
              <w:rPr>
                <w:b/>
                <w:bCs/>
                <w:sz w:val="28"/>
                <w:szCs w:val="28"/>
              </w:rPr>
            </w:pPr>
          </w:p>
        </w:tc>
        <w:tc>
          <w:tcPr>
            <w:tcW w:w="5518" w:type="dxa"/>
          </w:tcPr>
          <w:p w14:paraId="6EF8DB59" w14:textId="6A9CDE46" w:rsidR="00C67917" w:rsidRPr="00350C5C" w:rsidRDefault="00C41FD6" w:rsidP="0014031E">
            <w:pPr>
              <w:rPr>
                <w:rFonts w:cstheme="minorHAnsi"/>
              </w:rPr>
            </w:pPr>
            <w:r w:rsidRPr="00350C5C">
              <w:rPr>
                <w:rFonts w:cstheme="minorHAnsi"/>
              </w:rPr>
              <w:t xml:space="preserve">Several responses stating no residentials permitted.  </w:t>
            </w:r>
          </w:p>
        </w:tc>
        <w:tc>
          <w:tcPr>
            <w:tcW w:w="5903" w:type="dxa"/>
          </w:tcPr>
          <w:p w14:paraId="125BB5EF" w14:textId="750B8034" w:rsidR="00597350" w:rsidRPr="00350C5C" w:rsidRDefault="00A57CE1" w:rsidP="00597350">
            <w:pPr>
              <w:rPr>
                <w:rFonts w:cstheme="minorHAnsi"/>
              </w:rPr>
            </w:pPr>
            <w:r w:rsidRPr="00350C5C">
              <w:rPr>
                <w:rFonts w:cstheme="minorHAnsi"/>
              </w:rPr>
              <w:t xml:space="preserve">A significant number </w:t>
            </w:r>
            <w:r w:rsidR="005D6C3C" w:rsidRPr="00350C5C">
              <w:rPr>
                <w:rFonts w:cstheme="minorHAnsi"/>
              </w:rPr>
              <w:t>of responses stated schools not allowed to make new residential bookings</w:t>
            </w:r>
            <w:r w:rsidR="003A26A9" w:rsidRPr="00350C5C">
              <w:rPr>
                <w:rFonts w:cstheme="minorHAnsi"/>
              </w:rPr>
              <w:t xml:space="preserve">. </w:t>
            </w:r>
            <w:r w:rsidR="00597350" w:rsidRPr="00350C5C">
              <w:rPr>
                <w:rFonts w:cstheme="minorHAnsi"/>
              </w:rPr>
              <w:t>Many responses indicated the approach of waiting for SG guidance.</w:t>
            </w:r>
          </w:p>
          <w:p w14:paraId="11A80E61" w14:textId="773C493C" w:rsidR="007B7C52" w:rsidRPr="00350C5C" w:rsidRDefault="007B7C52" w:rsidP="0014031E">
            <w:pPr>
              <w:rPr>
                <w:rFonts w:cstheme="minorHAnsi"/>
              </w:rPr>
            </w:pPr>
          </w:p>
          <w:p w14:paraId="5ED26883" w14:textId="63FB9507" w:rsidR="007B7C52" w:rsidRPr="00350C5C" w:rsidRDefault="007B7C52" w:rsidP="0014031E">
            <w:pPr>
              <w:rPr>
                <w:rFonts w:cstheme="minorHAnsi"/>
              </w:rPr>
            </w:pPr>
            <w:r w:rsidRPr="00350C5C">
              <w:rPr>
                <w:rFonts w:cstheme="minorHAnsi"/>
              </w:rPr>
              <w:t xml:space="preserve">A small number of responses indicated </w:t>
            </w:r>
            <w:r w:rsidR="00E257B1" w:rsidRPr="00350C5C">
              <w:rPr>
                <w:rFonts w:cstheme="minorHAnsi"/>
              </w:rPr>
              <w:t xml:space="preserve">active planning to support residentials starting shortly. High demand indicated in one response. </w:t>
            </w:r>
          </w:p>
          <w:p w14:paraId="5C03E4DC" w14:textId="42B97ECC" w:rsidR="00124A0B" w:rsidRPr="00350C5C" w:rsidRDefault="00124A0B" w:rsidP="0014031E">
            <w:pPr>
              <w:rPr>
                <w:rFonts w:cstheme="minorHAnsi"/>
              </w:rPr>
            </w:pPr>
          </w:p>
        </w:tc>
      </w:tr>
      <w:tr w:rsidR="00ED01C7" w:rsidRPr="00A97AA5" w14:paraId="6A26324C" w14:textId="77777777" w:rsidTr="00B00D7B">
        <w:tc>
          <w:tcPr>
            <w:tcW w:w="4169" w:type="dxa"/>
            <w:shd w:val="clear" w:color="auto" w:fill="D9D9D9" w:themeFill="background1" w:themeFillShade="D9"/>
          </w:tcPr>
          <w:p w14:paraId="2D10BA43" w14:textId="7D5718AE" w:rsidR="00ED01C7" w:rsidRPr="00350C5C" w:rsidRDefault="00ED01C7" w:rsidP="0014031E">
            <w:pPr>
              <w:rPr>
                <w:b/>
                <w:bCs/>
                <w:sz w:val="28"/>
                <w:szCs w:val="28"/>
              </w:rPr>
            </w:pPr>
            <w:r w:rsidRPr="00350C5C">
              <w:rPr>
                <w:b/>
                <w:bCs/>
                <w:sz w:val="28"/>
                <w:szCs w:val="28"/>
              </w:rPr>
              <w:t>Partnership</w:t>
            </w:r>
            <w:r w:rsidR="00517857" w:rsidRPr="00350C5C">
              <w:rPr>
                <w:b/>
                <w:bCs/>
                <w:sz w:val="28"/>
                <w:szCs w:val="28"/>
              </w:rPr>
              <w:t xml:space="preserve"> working</w:t>
            </w:r>
          </w:p>
        </w:tc>
        <w:tc>
          <w:tcPr>
            <w:tcW w:w="5518" w:type="dxa"/>
          </w:tcPr>
          <w:p w14:paraId="077221EA" w14:textId="4D1D32BC" w:rsidR="00ED01C7" w:rsidRPr="00350C5C" w:rsidRDefault="00ED01C7" w:rsidP="0014031E">
            <w:pPr>
              <w:rPr>
                <w:rFonts w:cstheme="minorHAnsi"/>
              </w:rPr>
            </w:pPr>
            <w:r w:rsidRPr="00350C5C">
              <w:rPr>
                <w:rFonts w:cstheme="minorHAnsi"/>
              </w:rPr>
              <w:t xml:space="preserve">Responses </w:t>
            </w:r>
            <w:r w:rsidR="00A179D4" w:rsidRPr="00350C5C">
              <w:rPr>
                <w:rFonts w:cstheme="minorHAnsi"/>
              </w:rPr>
              <w:t>indicated</w:t>
            </w:r>
            <w:r w:rsidRPr="00350C5C">
              <w:rPr>
                <w:rFonts w:cstheme="minorHAnsi"/>
              </w:rPr>
              <w:t xml:space="preserve"> the importance of partnership working to build capacity and meet demand. </w:t>
            </w:r>
            <w:r w:rsidR="00517857" w:rsidRPr="00350C5C">
              <w:rPr>
                <w:rFonts w:cstheme="minorHAnsi"/>
              </w:rPr>
              <w:t xml:space="preserve">Existing relationships enhanced and new ones made e.g. RSPB, OWL and John Muir. </w:t>
            </w:r>
          </w:p>
          <w:p w14:paraId="75C676B3" w14:textId="383FECF4" w:rsidR="00517857" w:rsidRPr="00350C5C" w:rsidRDefault="00517857" w:rsidP="0014031E">
            <w:pPr>
              <w:rPr>
                <w:rFonts w:cstheme="minorHAnsi"/>
              </w:rPr>
            </w:pPr>
          </w:p>
        </w:tc>
        <w:tc>
          <w:tcPr>
            <w:tcW w:w="5903" w:type="dxa"/>
          </w:tcPr>
          <w:p w14:paraId="795907C3" w14:textId="77777777" w:rsidR="00ED01C7" w:rsidRPr="00350C5C" w:rsidRDefault="00F12500" w:rsidP="0014031E">
            <w:pPr>
              <w:rPr>
                <w:rFonts w:cstheme="minorHAnsi"/>
              </w:rPr>
            </w:pPr>
            <w:r w:rsidRPr="00350C5C">
              <w:rPr>
                <w:rFonts w:cstheme="minorHAnsi"/>
              </w:rPr>
              <w:t>Examples</w:t>
            </w:r>
            <w:r w:rsidR="00094287" w:rsidRPr="00350C5C">
              <w:rPr>
                <w:rFonts w:cstheme="minorHAnsi"/>
              </w:rPr>
              <w:t xml:space="preserve"> provided of new emerging partnerships for the future e.g. Watersports </w:t>
            </w:r>
            <w:r w:rsidRPr="00350C5C">
              <w:rPr>
                <w:rFonts w:cstheme="minorHAnsi"/>
              </w:rPr>
              <w:t xml:space="preserve">Centre partnership. </w:t>
            </w:r>
          </w:p>
          <w:p w14:paraId="3EDF59A2" w14:textId="77777777" w:rsidR="009F59B9" w:rsidRPr="00350C5C" w:rsidRDefault="009F59B9" w:rsidP="0014031E">
            <w:pPr>
              <w:rPr>
                <w:rFonts w:cstheme="minorHAnsi"/>
              </w:rPr>
            </w:pPr>
          </w:p>
          <w:p w14:paraId="0CD5C9D1" w14:textId="77777777" w:rsidR="009F59B9" w:rsidRPr="00350C5C" w:rsidRDefault="009F59B9" w:rsidP="0014031E">
            <w:pPr>
              <w:rPr>
                <w:rFonts w:cstheme="minorHAnsi"/>
              </w:rPr>
            </w:pPr>
            <w:r w:rsidRPr="00350C5C">
              <w:rPr>
                <w:rFonts w:cstheme="minorHAnsi"/>
              </w:rPr>
              <w:t xml:space="preserve">Improvement examples including revising and creating new partnership databases to support building capacity. </w:t>
            </w:r>
          </w:p>
          <w:p w14:paraId="59C4B37A" w14:textId="5702431E" w:rsidR="009F59B9" w:rsidRPr="00350C5C" w:rsidRDefault="009F59B9" w:rsidP="0014031E">
            <w:pPr>
              <w:rPr>
                <w:rFonts w:cstheme="minorHAnsi"/>
              </w:rPr>
            </w:pPr>
          </w:p>
        </w:tc>
      </w:tr>
      <w:tr w:rsidR="00C67917" w:rsidRPr="00A97AA5" w14:paraId="374F7C69" w14:textId="77777777" w:rsidTr="00B00D7B">
        <w:tc>
          <w:tcPr>
            <w:tcW w:w="4169" w:type="dxa"/>
            <w:shd w:val="clear" w:color="auto" w:fill="D9D9D9" w:themeFill="background1" w:themeFillShade="D9"/>
          </w:tcPr>
          <w:p w14:paraId="32726AD4" w14:textId="430206A0" w:rsidR="00C67917" w:rsidRPr="00350C5C" w:rsidRDefault="00282542" w:rsidP="0014031E">
            <w:pPr>
              <w:rPr>
                <w:b/>
                <w:bCs/>
                <w:sz w:val="28"/>
                <w:szCs w:val="28"/>
              </w:rPr>
            </w:pPr>
            <w:r w:rsidRPr="00350C5C">
              <w:rPr>
                <w:b/>
                <w:bCs/>
                <w:sz w:val="28"/>
                <w:szCs w:val="28"/>
              </w:rPr>
              <w:t>Workforce, t</w:t>
            </w:r>
            <w:r w:rsidR="00C67917" w:rsidRPr="00350C5C">
              <w:rPr>
                <w:b/>
                <w:bCs/>
                <w:sz w:val="28"/>
                <w:szCs w:val="28"/>
              </w:rPr>
              <w:t>raining</w:t>
            </w:r>
            <w:r w:rsidR="008910D5" w:rsidRPr="00350C5C">
              <w:rPr>
                <w:b/>
                <w:bCs/>
                <w:sz w:val="28"/>
                <w:szCs w:val="28"/>
              </w:rPr>
              <w:t xml:space="preserve"> and resources</w:t>
            </w:r>
          </w:p>
          <w:p w14:paraId="031CF12B" w14:textId="3335CFD2" w:rsidR="008910D5" w:rsidRPr="00350C5C" w:rsidRDefault="008910D5" w:rsidP="0014031E">
            <w:pPr>
              <w:rPr>
                <w:b/>
                <w:bCs/>
                <w:sz w:val="28"/>
                <w:szCs w:val="28"/>
              </w:rPr>
            </w:pPr>
          </w:p>
        </w:tc>
        <w:tc>
          <w:tcPr>
            <w:tcW w:w="5518" w:type="dxa"/>
          </w:tcPr>
          <w:p w14:paraId="7153DE57" w14:textId="0D6C396A" w:rsidR="0001055B" w:rsidRPr="00350C5C" w:rsidRDefault="0001055B" w:rsidP="0014031E">
            <w:pPr>
              <w:rPr>
                <w:rFonts w:cstheme="minorHAnsi"/>
              </w:rPr>
            </w:pPr>
            <w:r w:rsidRPr="00350C5C">
              <w:rPr>
                <w:rFonts w:cstheme="minorHAnsi"/>
              </w:rPr>
              <w:t>Some in-person training</w:t>
            </w:r>
            <w:r w:rsidR="00F9049B" w:rsidRPr="00350C5C">
              <w:rPr>
                <w:rFonts w:cstheme="minorHAnsi"/>
              </w:rPr>
              <w:t xml:space="preserve"> happening</w:t>
            </w:r>
            <w:r w:rsidRPr="00350C5C">
              <w:rPr>
                <w:rFonts w:cstheme="minorHAnsi"/>
              </w:rPr>
              <w:t xml:space="preserve"> e.g. </w:t>
            </w:r>
            <w:proofErr w:type="spellStart"/>
            <w:r w:rsidR="00043073" w:rsidRPr="00350C5C">
              <w:rPr>
                <w:rFonts w:cstheme="minorHAnsi"/>
              </w:rPr>
              <w:t>bushcraft</w:t>
            </w:r>
            <w:proofErr w:type="spellEnd"/>
            <w:r w:rsidR="00043073" w:rsidRPr="00350C5C">
              <w:rPr>
                <w:rFonts w:cstheme="minorHAnsi"/>
              </w:rPr>
              <w:t>, team building</w:t>
            </w:r>
            <w:r w:rsidRPr="00350C5C">
              <w:rPr>
                <w:rFonts w:cstheme="minorHAnsi"/>
              </w:rPr>
              <w:t xml:space="preserve"> and outdoor leadership programmes </w:t>
            </w:r>
            <w:r w:rsidR="00816BD9" w:rsidRPr="00350C5C">
              <w:rPr>
                <w:rFonts w:cstheme="minorHAnsi"/>
              </w:rPr>
              <w:t xml:space="preserve">e.g. woodland and coast. </w:t>
            </w:r>
          </w:p>
          <w:p w14:paraId="29B12D6C" w14:textId="0D2853FE" w:rsidR="00816BD9" w:rsidRPr="00350C5C" w:rsidRDefault="00816BD9" w:rsidP="0014031E">
            <w:pPr>
              <w:rPr>
                <w:rFonts w:cstheme="minorHAnsi"/>
              </w:rPr>
            </w:pPr>
          </w:p>
          <w:p w14:paraId="5F2ADCE3" w14:textId="69808FDF" w:rsidR="00816BD9" w:rsidRPr="00350C5C" w:rsidRDefault="00816BD9" w:rsidP="0014031E">
            <w:pPr>
              <w:rPr>
                <w:rFonts w:cstheme="minorHAnsi"/>
              </w:rPr>
            </w:pPr>
            <w:r w:rsidRPr="00350C5C">
              <w:rPr>
                <w:rFonts w:cstheme="minorHAnsi"/>
              </w:rPr>
              <w:t>Online training</w:t>
            </w:r>
            <w:r w:rsidR="00FB3DE0" w:rsidRPr="00350C5C">
              <w:rPr>
                <w:rFonts w:cstheme="minorHAnsi"/>
              </w:rPr>
              <w:t xml:space="preserve"> including webinars are provided by many LAs</w:t>
            </w:r>
            <w:r w:rsidR="0078564D" w:rsidRPr="00350C5C">
              <w:rPr>
                <w:rFonts w:cstheme="minorHAnsi"/>
              </w:rPr>
              <w:t>,</w:t>
            </w:r>
            <w:r w:rsidR="006C1EB5" w:rsidRPr="00350C5C">
              <w:rPr>
                <w:rFonts w:cstheme="minorHAnsi"/>
              </w:rPr>
              <w:t xml:space="preserve"> including</w:t>
            </w:r>
            <w:r w:rsidR="0078564D" w:rsidRPr="00350C5C">
              <w:rPr>
                <w:rFonts w:cstheme="minorHAnsi"/>
              </w:rPr>
              <w:t xml:space="preserve"> individual </w:t>
            </w:r>
            <w:r w:rsidR="006C1EB5" w:rsidRPr="00350C5C">
              <w:rPr>
                <w:rFonts w:cstheme="minorHAnsi"/>
              </w:rPr>
              <w:t xml:space="preserve">specific </w:t>
            </w:r>
            <w:r w:rsidR="0078564D" w:rsidRPr="00350C5C">
              <w:rPr>
                <w:rFonts w:cstheme="minorHAnsi"/>
              </w:rPr>
              <w:t xml:space="preserve">courses and larger events e.g. OL festival (online twilight). </w:t>
            </w:r>
          </w:p>
          <w:p w14:paraId="07D6CA50" w14:textId="77777777" w:rsidR="00816BD9" w:rsidRPr="00350C5C" w:rsidRDefault="00816BD9" w:rsidP="0014031E">
            <w:pPr>
              <w:rPr>
                <w:rFonts w:cstheme="minorHAnsi"/>
              </w:rPr>
            </w:pPr>
          </w:p>
          <w:p w14:paraId="690ED63E" w14:textId="29A2A8CA" w:rsidR="00C67917" w:rsidRPr="00350C5C" w:rsidRDefault="008910D5" w:rsidP="0014031E">
            <w:pPr>
              <w:rPr>
                <w:rFonts w:cstheme="minorHAnsi"/>
              </w:rPr>
            </w:pPr>
            <w:r w:rsidRPr="00350C5C">
              <w:rPr>
                <w:rFonts w:cstheme="minorHAnsi"/>
              </w:rPr>
              <w:t xml:space="preserve">Examples of OL Teams adjusting to COVID e.g. creating of new online sharing solutions e.g. </w:t>
            </w:r>
            <w:r w:rsidR="006654A3" w:rsidRPr="00350C5C">
              <w:rPr>
                <w:rFonts w:cstheme="minorHAnsi"/>
              </w:rPr>
              <w:t>Google</w:t>
            </w:r>
            <w:r w:rsidR="00C10246" w:rsidRPr="00350C5C">
              <w:rPr>
                <w:rFonts w:cstheme="minorHAnsi"/>
              </w:rPr>
              <w:t xml:space="preserve"> portal (for staff and partners)</w:t>
            </w:r>
            <w:r w:rsidR="006654A3" w:rsidRPr="00350C5C">
              <w:rPr>
                <w:rFonts w:cstheme="minorHAnsi"/>
              </w:rPr>
              <w:t xml:space="preserve"> and Microsoft SharePoint, plus bespoke solutions e.g. digital Outdoor Learning Map. </w:t>
            </w:r>
          </w:p>
          <w:p w14:paraId="60321982" w14:textId="77777777" w:rsidR="00282542" w:rsidRPr="00350C5C" w:rsidRDefault="00282542" w:rsidP="0014031E">
            <w:pPr>
              <w:rPr>
                <w:rFonts w:cstheme="minorHAnsi"/>
              </w:rPr>
            </w:pPr>
          </w:p>
          <w:p w14:paraId="6D2A1FDF" w14:textId="77777777" w:rsidR="00282542" w:rsidRPr="00350C5C" w:rsidRDefault="00282542" w:rsidP="00282542">
            <w:pPr>
              <w:rPr>
                <w:rFonts w:cstheme="minorHAnsi"/>
              </w:rPr>
            </w:pPr>
            <w:r w:rsidRPr="00350C5C">
              <w:rPr>
                <w:rFonts w:cstheme="minorHAnsi"/>
              </w:rPr>
              <w:t xml:space="preserve">Some responses detailed the use of a wider workforce – partners and staff from elsewhere in organisation e.g. Active Schools (sometimes with targeted deployment). </w:t>
            </w:r>
          </w:p>
          <w:p w14:paraId="0415A60D" w14:textId="77777777" w:rsidR="00282542" w:rsidRPr="00350C5C" w:rsidRDefault="00282542" w:rsidP="00282542">
            <w:pPr>
              <w:rPr>
                <w:rFonts w:cstheme="minorHAnsi"/>
              </w:rPr>
            </w:pPr>
          </w:p>
          <w:p w14:paraId="4D8FF3E6" w14:textId="77777777" w:rsidR="00282542" w:rsidRPr="00350C5C" w:rsidRDefault="00282542" w:rsidP="00282542">
            <w:pPr>
              <w:rPr>
                <w:rFonts w:cstheme="minorHAnsi"/>
              </w:rPr>
            </w:pPr>
            <w:r w:rsidRPr="00350C5C">
              <w:rPr>
                <w:rFonts w:cstheme="minorHAnsi"/>
              </w:rPr>
              <w:t xml:space="preserve">Some OL Teams cannot deal with the demand e.g. very small team, individuals in certain circumstances, and rising demand. Plus, sometimes just exited from furlough. Meeting demand within an LA is therefore challenging. </w:t>
            </w:r>
          </w:p>
          <w:p w14:paraId="268C9AB8" w14:textId="77777777" w:rsidR="00282542" w:rsidRPr="00350C5C" w:rsidRDefault="00282542" w:rsidP="00282542">
            <w:pPr>
              <w:rPr>
                <w:rFonts w:cstheme="minorHAnsi"/>
              </w:rPr>
            </w:pPr>
          </w:p>
          <w:p w14:paraId="7B18485A" w14:textId="77777777" w:rsidR="00282542" w:rsidRPr="00350C5C" w:rsidRDefault="00282542" w:rsidP="00282542">
            <w:pPr>
              <w:rPr>
                <w:rFonts w:cstheme="minorHAnsi"/>
              </w:rPr>
            </w:pPr>
            <w:r w:rsidRPr="00350C5C">
              <w:rPr>
                <w:rFonts w:cstheme="minorHAnsi"/>
              </w:rPr>
              <w:t>Some examples of a LA-wide use of external and internal outdoor education centres supporting delivery / meeting needs and demands.</w:t>
            </w:r>
          </w:p>
          <w:p w14:paraId="6D9C97C8" w14:textId="77777777" w:rsidR="00282542" w:rsidRPr="00350C5C" w:rsidRDefault="00282542" w:rsidP="00282542">
            <w:pPr>
              <w:rPr>
                <w:rFonts w:cstheme="minorHAnsi"/>
              </w:rPr>
            </w:pPr>
          </w:p>
          <w:p w14:paraId="2B77D3DC" w14:textId="77777777" w:rsidR="00282542" w:rsidRPr="00350C5C" w:rsidRDefault="00282542" w:rsidP="00282542">
            <w:pPr>
              <w:rPr>
                <w:rFonts w:cstheme="minorHAnsi"/>
              </w:rPr>
            </w:pPr>
            <w:r w:rsidRPr="00350C5C">
              <w:rPr>
                <w:rFonts w:cstheme="minorHAnsi"/>
              </w:rPr>
              <w:t xml:space="preserve">One response provided an example of building capacity via allocated key OL strategic roles to practising Head Teachers.  </w:t>
            </w:r>
          </w:p>
          <w:p w14:paraId="2F0770AC" w14:textId="77777777" w:rsidR="00282542" w:rsidRPr="00350C5C" w:rsidRDefault="00282542" w:rsidP="00282542">
            <w:pPr>
              <w:rPr>
                <w:rFonts w:cstheme="minorHAnsi"/>
              </w:rPr>
            </w:pPr>
          </w:p>
          <w:p w14:paraId="085CC13C" w14:textId="59EEB41E" w:rsidR="00AC7447" w:rsidRPr="00350C5C" w:rsidRDefault="00282542" w:rsidP="0014031E">
            <w:pPr>
              <w:rPr>
                <w:rFonts w:cstheme="minorHAnsi"/>
              </w:rPr>
            </w:pPr>
            <w:r w:rsidRPr="00350C5C">
              <w:rPr>
                <w:rFonts w:cstheme="minorHAnsi"/>
              </w:rPr>
              <w:t xml:space="preserve">One response detailed the importance of developing staff confidence. </w:t>
            </w:r>
          </w:p>
        </w:tc>
        <w:tc>
          <w:tcPr>
            <w:tcW w:w="5903" w:type="dxa"/>
          </w:tcPr>
          <w:p w14:paraId="696DE0A1" w14:textId="7CD7404A" w:rsidR="00C67917" w:rsidRPr="00350C5C" w:rsidRDefault="00092BA8" w:rsidP="0014031E">
            <w:pPr>
              <w:rPr>
                <w:rFonts w:cstheme="minorHAnsi"/>
              </w:rPr>
            </w:pPr>
            <w:r w:rsidRPr="00350C5C">
              <w:rPr>
                <w:rFonts w:cstheme="minorHAnsi"/>
              </w:rPr>
              <w:lastRenderedPageBreak/>
              <w:t xml:space="preserve">Specific examples </w:t>
            </w:r>
            <w:r w:rsidR="00870D6A" w:rsidRPr="00350C5C">
              <w:rPr>
                <w:rFonts w:cstheme="minorHAnsi"/>
              </w:rPr>
              <w:t>linked to adapting existing training and developing new provision including ‘Lead OL Teacher</w:t>
            </w:r>
            <w:r w:rsidR="00BD4881" w:rsidRPr="00350C5C">
              <w:rPr>
                <w:rFonts w:cstheme="minorHAnsi"/>
              </w:rPr>
              <w:t>/Practitioner</w:t>
            </w:r>
            <w:r w:rsidR="00870D6A" w:rsidRPr="00350C5C">
              <w:rPr>
                <w:rFonts w:cstheme="minorHAnsi"/>
              </w:rPr>
              <w:t>’ programmes</w:t>
            </w:r>
            <w:r w:rsidR="00595A57" w:rsidRPr="00350C5C">
              <w:rPr>
                <w:rFonts w:cstheme="minorHAnsi"/>
              </w:rPr>
              <w:t>;</w:t>
            </w:r>
            <w:r w:rsidR="0038344D" w:rsidRPr="00350C5C">
              <w:rPr>
                <w:rFonts w:cstheme="minorHAnsi"/>
              </w:rPr>
              <w:t xml:space="preserve"> </w:t>
            </w:r>
            <w:proofErr w:type="spellStart"/>
            <w:r w:rsidR="0038344D" w:rsidRPr="00350C5C">
              <w:rPr>
                <w:rFonts w:cstheme="minorHAnsi"/>
              </w:rPr>
              <w:t>bushcraft</w:t>
            </w:r>
            <w:proofErr w:type="spellEnd"/>
            <w:r w:rsidR="0038344D" w:rsidRPr="00350C5C">
              <w:rPr>
                <w:rFonts w:cstheme="minorHAnsi"/>
              </w:rPr>
              <w:t>, ad-hoc support linked to unique need e.g. COACH (Curriculum Outdoor Attainment Challenge)</w:t>
            </w:r>
            <w:r w:rsidR="00595A57" w:rsidRPr="00350C5C">
              <w:rPr>
                <w:rFonts w:cstheme="minorHAnsi"/>
              </w:rPr>
              <w:t xml:space="preserve">; and SQA accreditation. </w:t>
            </w:r>
          </w:p>
        </w:tc>
      </w:tr>
      <w:tr w:rsidR="00C67917" w:rsidRPr="00A97AA5" w14:paraId="7FC2E92B" w14:textId="77777777" w:rsidTr="00B00D7B">
        <w:tc>
          <w:tcPr>
            <w:tcW w:w="4169" w:type="dxa"/>
            <w:shd w:val="clear" w:color="auto" w:fill="D9D9D9" w:themeFill="background1" w:themeFillShade="D9"/>
          </w:tcPr>
          <w:p w14:paraId="7F64A354" w14:textId="0FD995E8" w:rsidR="00C67917" w:rsidRPr="00350C5C" w:rsidRDefault="008A2B75" w:rsidP="0014031E">
            <w:pPr>
              <w:rPr>
                <w:b/>
                <w:bCs/>
                <w:sz w:val="28"/>
                <w:szCs w:val="28"/>
              </w:rPr>
            </w:pPr>
            <w:r w:rsidRPr="00350C5C">
              <w:rPr>
                <w:b/>
                <w:bCs/>
                <w:sz w:val="28"/>
                <w:szCs w:val="28"/>
              </w:rPr>
              <w:lastRenderedPageBreak/>
              <w:t>Communications</w:t>
            </w:r>
          </w:p>
        </w:tc>
        <w:tc>
          <w:tcPr>
            <w:tcW w:w="5518" w:type="dxa"/>
          </w:tcPr>
          <w:p w14:paraId="75981797" w14:textId="16D76323" w:rsidR="00C67917" w:rsidRPr="00350C5C" w:rsidRDefault="00E061E6" w:rsidP="0014031E">
            <w:pPr>
              <w:rPr>
                <w:rFonts w:cstheme="minorHAnsi"/>
              </w:rPr>
            </w:pPr>
            <w:r w:rsidRPr="00350C5C">
              <w:rPr>
                <w:rFonts w:cstheme="minorHAnsi"/>
              </w:rPr>
              <w:t xml:space="preserve">Examples included </w:t>
            </w:r>
            <w:r w:rsidR="00307EC4" w:rsidRPr="00350C5C">
              <w:rPr>
                <w:rFonts w:cstheme="minorHAnsi"/>
              </w:rPr>
              <w:t>using existing networks (Head Teacher, OL networks), social media</w:t>
            </w:r>
            <w:r w:rsidR="005636C6" w:rsidRPr="00350C5C">
              <w:rPr>
                <w:rFonts w:cstheme="minorHAnsi"/>
              </w:rPr>
              <w:t>, improving/developing websites</w:t>
            </w:r>
            <w:r w:rsidR="00996741" w:rsidRPr="00350C5C">
              <w:rPr>
                <w:rFonts w:cstheme="minorHAnsi"/>
              </w:rPr>
              <w:t xml:space="preserve">, regular newsletters, </w:t>
            </w:r>
            <w:r w:rsidR="00A5042E" w:rsidRPr="00350C5C">
              <w:rPr>
                <w:rFonts w:cstheme="minorHAnsi"/>
              </w:rPr>
              <w:t>and position statements (LA response to SG guidance).</w:t>
            </w:r>
          </w:p>
          <w:p w14:paraId="71DBC374" w14:textId="16E63EBE" w:rsidR="001678A9" w:rsidRPr="00350C5C" w:rsidRDefault="001678A9" w:rsidP="0014031E">
            <w:pPr>
              <w:rPr>
                <w:rFonts w:cstheme="minorHAnsi"/>
              </w:rPr>
            </w:pPr>
          </w:p>
          <w:p w14:paraId="1A01AD68" w14:textId="66BF2C36" w:rsidR="001678A9" w:rsidRPr="00350C5C" w:rsidRDefault="001678A9" w:rsidP="0014031E">
            <w:pPr>
              <w:rPr>
                <w:rFonts w:cstheme="minorHAnsi"/>
              </w:rPr>
            </w:pPr>
            <w:r w:rsidRPr="00350C5C">
              <w:rPr>
                <w:rFonts w:cstheme="minorHAnsi"/>
              </w:rPr>
              <w:t>Some examples of ‘rebranding’ linked to LA wide initiatives and the incorporation</w:t>
            </w:r>
            <w:r w:rsidR="009142B8" w:rsidRPr="00350C5C">
              <w:rPr>
                <w:rFonts w:cstheme="minorHAnsi"/>
              </w:rPr>
              <w:t>/strengthening</w:t>
            </w:r>
            <w:r w:rsidRPr="00350C5C">
              <w:rPr>
                <w:rFonts w:cstheme="minorHAnsi"/>
              </w:rPr>
              <w:t xml:space="preserve"> of OL. </w:t>
            </w:r>
          </w:p>
          <w:p w14:paraId="4F0FFFBD" w14:textId="33D2D39F" w:rsidR="007975C1" w:rsidRPr="00350C5C" w:rsidRDefault="007975C1" w:rsidP="0014031E">
            <w:pPr>
              <w:rPr>
                <w:rFonts w:cstheme="minorHAnsi"/>
              </w:rPr>
            </w:pPr>
          </w:p>
          <w:p w14:paraId="3A0D4C0F" w14:textId="1FC554ED" w:rsidR="007975C1" w:rsidRPr="00350C5C" w:rsidRDefault="007975C1" w:rsidP="0014031E">
            <w:pPr>
              <w:rPr>
                <w:rFonts w:cstheme="minorHAnsi"/>
              </w:rPr>
            </w:pPr>
            <w:r w:rsidRPr="00350C5C">
              <w:rPr>
                <w:rFonts w:cstheme="minorHAnsi"/>
              </w:rPr>
              <w:t>SAPOE resources</w:t>
            </w:r>
            <w:r w:rsidR="00441B79" w:rsidRPr="00350C5C">
              <w:rPr>
                <w:rFonts w:cstheme="minorHAnsi"/>
              </w:rPr>
              <w:t>, training</w:t>
            </w:r>
            <w:r w:rsidRPr="00350C5C">
              <w:rPr>
                <w:rFonts w:cstheme="minorHAnsi"/>
              </w:rPr>
              <w:t xml:space="preserve"> and information </w:t>
            </w:r>
            <w:r w:rsidR="00441B79" w:rsidRPr="00350C5C">
              <w:rPr>
                <w:rFonts w:cstheme="minorHAnsi"/>
              </w:rPr>
              <w:t>signposted/</w:t>
            </w:r>
            <w:r w:rsidRPr="00350C5C">
              <w:rPr>
                <w:rFonts w:cstheme="minorHAnsi"/>
              </w:rPr>
              <w:t xml:space="preserve">shared. Especially useful for LAs with small teams/limited capacity (pooling resources and capacity). </w:t>
            </w:r>
          </w:p>
          <w:p w14:paraId="52DACFE4" w14:textId="3D6C0F6A" w:rsidR="00F7437C" w:rsidRPr="00350C5C" w:rsidRDefault="00F7437C" w:rsidP="0014031E">
            <w:pPr>
              <w:rPr>
                <w:rFonts w:cstheme="minorHAnsi"/>
              </w:rPr>
            </w:pPr>
          </w:p>
        </w:tc>
        <w:tc>
          <w:tcPr>
            <w:tcW w:w="5903" w:type="dxa"/>
          </w:tcPr>
          <w:p w14:paraId="2F6639C4" w14:textId="77777777" w:rsidR="00C67917" w:rsidRPr="00350C5C" w:rsidRDefault="00C67917" w:rsidP="0014031E">
            <w:pPr>
              <w:rPr>
                <w:rFonts w:cstheme="minorHAnsi"/>
              </w:rPr>
            </w:pPr>
          </w:p>
        </w:tc>
      </w:tr>
      <w:tr w:rsidR="00C67917" w:rsidRPr="00A97AA5" w14:paraId="6A91AD74" w14:textId="77777777" w:rsidTr="00B00D7B">
        <w:tc>
          <w:tcPr>
            <w:tcW w:w="4169" w:type="dxa"/>
            <w:shd w:val="clear" w:color="auto" w:fill="D9D9D9" w:themeFill="background1" w:themeFillShade="D9"/>
          </w:tcPr>
          <w:p w14:paraId="73781612" w14:textId="08D74FCF" w:rsidR="00C67917" w:rsidRPr="00350C5C" w:rsidRDefault="00CA680D" w:rsidP="0014031E">
            <w:pPr>
              <w:rPr>
                <w:b/>
                <w:bCs/>
                <w:sz w:val="28"/>
                <w:szCs w:val="28"/>
              </w:rPr>
            </w:pPr>
            <w:r w:rsidRPr="00350C5C">
              <w:rPr>
                <w:b/>
                <w:bCs/>
                <w:sz w:val="28"/>
                <w:szCs w:val="28"/>
              </w:rPr>
              <w:t>Other comments</w:t>
            </w:r>
          </w:p>
        </w:tc>
        <w:tc>
          <w:tcPr>
            <w:tcW w:w="5518" w:type="dxa"/>
          </w:tcPr>
          <w:p w14:paraId="2A70C204" w14:textId="315EB5C2" w:rsidR="00C67917" w:rsidRPr="00350C5C" w:rsidRDefault="00AC1240" w:rsidP="0014031E">
            <w:pPr>
              <w:rPr>
                <w:rFonts w:cstheme="minorHAnsi"/>
              </w:rPr>
            </w:pPr>
            <w:r w:rsidRPr="00350C5C">
              <w:rPr>
                <w:rFonts w:cstheme="minorHAnsi"/>
              </w:rPr>
              <w:t xml:space="preserve">Still significant variance across LAs. </w:t>
            </w:r>
          </w:p>
          <w:p w14:paraId="196F95CA" w14:textId="77777777" w:rsidR="007444CE" w:rsidRPr="00350C5C" w:rsidRDefault="007444CE" w:rsidP="0014031E">
            <w:pPr>
              <w:rPr>
                <w:rFonts w:cstheme="minorHAnsi"/>
              </w:rPr>
            </w:pPr>
          </w:p>
          <w:p w14:paraId="066073B7" w14:textId="68D236B4" w:rsidR="00BC33CF" w:rsidRPr="00350C5C" w:rsidRDefault="00BC33CF" w:rsidP="0014031E">
            <w:pPr>
              <w:rPr>
                <w:rFonts w:cstheme="minorHAnsi"/>
              </w:rPr>
            </w:pPr>
            <w:r w:rsidRPr="00350C5C">
              <w:rPr>
                <w:rFonts w:cstheme="minorHAnsi"/>
              </w:rPr>
              <w:t>Some examples of a ‘s</w:t>
            </w:r>
            <w:r w:rsidR="0077241D" w:rsidRPr="00350C5C">
              <w:rPr>
                <w:rFonts w:cstheme="minorHAnsi"/>
              </w:rPr>
              <w:t xml:space="preserve">hrinking service’ e.g. recent closure of centres. </w:t>
            </w:r>
          </w:p>
          <w:p w14:paraId="63898CCD" w14:textId="77777777" w:rsidR="007444CE" w:rsidRPr="00350C5C" w:rsidRDefault="007444CE" w:rsidP="0014031E">
            <w:pPr>
              <w:rPr>
                <w:rFonts w:cstheme="minorHAnsi"/>
              </w:rPr>
            </w:pPr>
          </w:p>
          <w:p w14:paraId="7D3FE8B1" w14:textId="28F587F1" w:rsidR="00AC1240" w:rsidRPr="00350C5C" w:rsidRDefault="00420674" w:rsidP="0014031E">
            <w:pPr>
              <w:rPr>
                <w:rFonts w:cstheme="minorHAnsi"/>
              </w:rPr>
            </w:pPr>
            <w:r w:rsidRPr="00350C5C">
              <w:rPr>
                <w:rFonts w:cstheme="minorHAnsi"/>
              </w:rPr>
              <w:t>One group stated th</w:t>
            </w:r>
            <w:r w:rsidR="009D54FA" w:rsidRPr="00350C5C">
              <w:rPr>
                <w:rFonts w:cstheme="minorHAnsi"/>
              </w:rPr>
              <w:t>e importance of</w:t>
            </w:r>
            <w:r w:rsidRPr="00350C5C">
              <w:rPr>
                <w:rFonts w:cstheme="minorHAnsi"/>
              </w:rPr>
              <w:t xml:space="preserve"> LAs </w:t>
            </w:r>
            <w:r w:rsidR="007444CE" w:rsidRPr="00350C5C">
              <w:rPr>
                <w:rFonts w:cstheme="minorHAnsi"/>
              </w:rPr>
              <w:t xml:space="preserve">responding to changing SG guidance. Several examples of LAs responding creatively. </w:t>
            </w:r>
          </w:p>
          <w:p w14:paraId="2DF7B3D3" w14:textId="12BA5E9A" w:rsidR="00075827" w:rsidRPr="00350C5C" w:rsidRDefault="00075827" w:rsidP="0014031E">
            <w:pPr>
              <w:rPr>
                <w:rFonts w:cstheme="minorHAnsi"/>
              </w:rPr>
            </w:pPr>
          </w:p>
          <w:p w14:paraId="12CBEF39" w14:textId="00BE22C5" w:rsidR="00075827" w:rsidRPr="00350C5C" w:rsidRDefault="007B7C52" w:rsidP="0014031E">
            <w:pPr>
              <w:rPr>
                <w:rFonts w:cstheme="minorHAnsi"/>
              </w:rPr>
            </w:pPr>
            <w:r w:rsidRPr="00350C5C">
              <w:rPr>
                <w:rFonts w:cstheme="minorHAnsi"/>
              </w:rPr>
              <w:t>Importance and value of a</w:t>
            </w:r>
            <w:r w:rsidR="00075827" w:rsidRPr="00350C5C">
              <w:rPr>
                <w:rFonts w:cstheme="minorHAnsi"/>
              </w:rPr>
              <w:t xml:space="preserve">utonomy to make decisions at the school level were </w:t>
            </w:r>
            <w:r w:rsidRPr="00350C5C">
              <w:rPr>
                <w:rFonts w:cstheme="minorHAnsi"/>
              </w:rPr>
              <w:t xml:space="preserve">highlighted in one response. </w:t>
            </w:r>
          </w:p>
          <w:p w14:paraId="60F3AFB1" w14:textId="57915392" w:rsidR="00235EFD" w:rsidRPr="00350C5C" w:rsidRDefault="00235EFD" w:rsidP="0014031E">
            <w:pPr>
              <w:rPr>
                <w:rFonts w:cstheme="minorHAnsi"/>
              </w:rPr>
            </w:pPr>
          </w:p>
        </w:tc>
        <w:tc>
          <w:tcPr>
            <w:tcW w:w="5903" w:type="dxa"/>
          </w:tcPr>
          <w:p w14:paraId="1137DE08" w14:textId="77777777" w:rsidR="00C67917" w:rsidRPr="00350C5C" w:rsidRDefault="00DB43E2" w:rsidP="0014031E">
            <w:pPr>
              <w:rPr>
                <w:rFonts w:cstheme="minorHAnsi"/>
              </w:rPr>
            </w:pPr>
            <w:r w:rsidRPr="00350C5C">
              <w:rPr>
                <w:rFonts w:cstheme="minorHAnsi"/>
              </w:rPr>
              <w:lastRenderedPageBreak/>
              <w:t xml:space="preserve">Some responses provided examples of planned investment e.g. in new centres </w:t>
            </w:r>
            <w:r w:rsidR="004071EF" w:rsidRPr="00350C5C">
              <w:rPr>
                <w:rFonts w:cstheme="minorHAnsi"/>
              </w:rPr>
              <w:t xml:space="preserve">or improve existing ones. </w:t>
            </w:r>
            <w:r w:rsidR="004C1314" w:rsidRPr="00350C5C">
              <w:rPr>
                <w:rFonts w:cstheme="minorHAnsi"/>
              </w:rPr>
              <w:t xml:space="preserve">Included one example of expanded EYs support – 100% OL venue. </w:t>
            </w:r>
          </w:p>
          <w:p w14:paraId="68DAF18F" w14:textId="77777777" w:rsidR="00A9276E" w:rsidRPr="00350C5C" w:rsidRDefault="00A9276E" w:rsidP="0014031E">
            <w:pPr>
              <w:rPr>
                <w:rFonts w:cstheme="minorHAnsi"/>
              </w:rPr>
            </w:pPr>
          </w:p>
          <w:p w14:paraId="20F65888" w14:textId="77777777" w:rsidR="00A9276E" w:rsidRPr="00350C5C" w:rsidRDefault="00A9276E" w:rsidP="0014031E">
            <w:pPr>
              <w:rPr>
                <w:rFonts w:cstheme="minorHAnsi"/>
              </w:rPr>
            </w:pPr>
            <w:r w:rsidRPr="00350C5C">
              <w:rPr>
                <w:rFonts w:cstheme="minorHAnsi"/>
              </w:rPr>
              <w:t xml:space="preserve">School improvement developments e.g. </w:t>
            </w:r>
            <w:r w:rsidR="008E7093" w:rsidRPr="00350C5C">
              <w:rPr>
                <w:rFonts w:cstheme="minorHAnsi"/>
              </w:rPr>
              <w:t xml:space="preserve">encouraging the allocation of PEF to OL and </w:t>
            </w:r>
            <w:r w:rsidR="00D25C4D" w:rsidRPr="00350C5C">
              <w:rPr>
                <w:rFonts w:cstheme="minorHAnsi"/>
              </w:rPr>
              <w:t xml:space="preserve">embedding OL across the curriculum. </w:t>
            </w:r>
          </w:p>
          <w:p w14:paraId="49A79397" w14:textId="77777777" w:rsidR="00BD4881" w:rsidRPr="00350C5C" w:rsidRDefault="00BD4881" w:rsidP="0014031E">
            <w:pPr>
              <w:rPr>
                <w:rFonts w:cstheme="minorHAnsi"/>
              </w:rPr>
            </w:pPr>
          </w:p>
          <w:p w14:paraId="7FA7FC94" w14:textId="5E532FF4" w:rsidR="00BD4881" w:rsidRPr="00350C5C" w:rsidRDefault="00BD4881" w:rsidP="0014031E">
            <w:pPr>
              <w:rPr>
                <w:rFonts w:cstheme="minorHAnsi"/>
              </w:rPr>
            </w:pPr>
            <w:r w:rsidRPr="00350C5C">
              <w:rPr>
                <w:rFonts w:cstheme="minorHAnsi"/>
              </w:rPr>
              <w:lastRenderedPageBreak/>
              <w:t xml:space="preserve">Some responses indicated OL </w:t>
            </w:r>
            <w:r w:rsidR="00E02DC8" w:rsidRPr="00350C5C">
              <w:rPr>
                <w:rFonts w:cstheme="minorHAnsi"/>
              </w:rPr>
              <w:t>being</w:t>
            </w:r>
            <w:r w:rsidRPr="00350C5C">
              <w:rPr>
                <w:rFonts w:cstheme="minorHAnsi"/>
              </w:rPr>
              <w:t xml:space="preserve"> developed via emerging COVID recovery funding (LAs allocated SG </w:t>
            </w:r>
            <w:r w:rsidR="00E02DC8" w:rsidRPr="00350C5C">
              <w:rPr>
                <w:rFonts w:cstheme="minorHAnsi"/>
              </w:rPr>
              <w:t>funding to OL</w:t>
            </w:r>
            <w:r w:rsidRPr="00350C5C">
              <w:rPr>
                <w:rFonts w:cstheme="minorHAnsi"/>
              </w:rPr>
              <w:t xml:space="preserve">). </w:t>
            </w:r>
          </w:p>
        </w:tc>
      </w:tr>
    </w:tbl>
    <w:p w14:paraId="692B91C8" w14:textId="16A11D04" w:rsidR="00C67917" w:rsidRDefault="00C67917"/>
    <w:tbl>
      <w:tblPr>
        <w:tblStyle w:val="TableGrid"/>
        <w:tblW w:w="15593" w:type="dxa"/>
        <w:tblInd w:w="-856" w:type="dxa"/>
        <w:tblLook w:val="04A0" w:firstRow="1" w:lastRow="0" w:firstColumn="1" w:lastColumn="0" w:noHBand="0" w:noVBand="1"/>
      </w:tblPr>
      <w:tblGrid>
        <w:gridCol w:w="15593"/>
      </w:tblGrid>
      <w:tr w:rsidR="003E7CCC" w14:paraId="583F0B4F" w14:textId="77777777" w:rsidTr="00FC1180">
        <w:tc>
          <w:tcPr>
            <w:tcW w:w="15593" w:type="dxa"/>
            <w:shd w:val="clear" w:color="auto" w:fill="FFFF00"/>
          </w:tcPr>
          <w:p w14:paraId="723E39DF" w14:textId="25ECDFD2" w:rsidR="003E7CCC" w:rsidRPr="00CB7621" w:rsidRDefault="00CB7621">
            <w:pPr>
              <w:rPr>
                <w:rFonts w:cs="Calibri"/>
                <w:b/>
                <w:bCs/>
                <w:color w:val="92D050"/>
                <w:sz w:val="36"/>
                <w:szCs w:val="36"/>
                <w:u w:val="single"/>
              </w:rPr>
            </w:pPr>
            <w:r w:rsidRPr="00E12BDE">
              <w:rPr>
                <w:rFonts w:cs="Calibri"/>
                <w:b/>
                <w:bCs/>
                <w:color w:val="538135" w:themeColor="accent6" w:themeShade="BF"/>
                <w:sz w:val="36"/>
                <w:szCs w:val="36"/>
                <w:u w:val="single"/>
              </w:rPr>
              <w:t>Question 2</w:t>
            </w:r>
            <w:r w:rsidRPr="00E12BDE">
              <w:rPr>
                <w:rFonts w:cs="Calibri"/>
                <w:color w:val="538135" w:themeColor="accent6" w:themeShade="BF"/>
                <w:sz w:val="36"/>
                <w:szCs w:val="36"/>
              </w:rPr>
              <w:t xml:space="preserve"> </w:t>
            </w:r>
            <w:r>
              <w:rPr>
                <w:rFonts w:cs="Calibri"/>
              </w:rPr>
              <w:t xml:space="preserve">What are the common challenges preventing OL in your LA?  </w:t>
            </w:r>
          </w:p>
        </w:tc>
      </w:tr>
      <w:tr w:rsidR="003E7CCC" w14:paraId="27790B90" w14:textId="77777777" w:rsidTr="00FC1180">
        <w:tc>
          <w:tcPr>
            <w:tcW w:w="15593" w:type="dxa"/>
          </w:tcPr>
          <w:p w14:paraId="6C923658" w14:textId="1DC52542" w:rsidR="00225269" w:rsidRDefault="00225269" w:rsidP="008629C0">
            <w:pPr>
              <w:pStyle w:val="ListParagraph"/>
              <w:numPr>
                <w:ilvl w:val="0"/>
                <w:numId w:val="5"/>
              </w:numPr>
            </w:pPr>
            <w:r>
              <w:t xml:space="preserve">Insurance, legal and procurement </w:t>
            </w:r>
            <w:r w:rsidR="008D00F8">
              <w:t>restrictions</w:t>
            </w:r>
            <w:r>
              <w:t xml:space="preserve"> linked t</w:t>
            </w:r>
            <w:r w:rsidR="00AE10D1">
              <w:t>o financial risks</w:t>
            </w:r>
            <w:r>
              <w:t xml:space="preserve"> </w:t>
            </w:r>
            <w:r w:rsidR="00AE10D1">
              <w:t>– creating restrictions on</w:t>
            </w:r>
            <w:r>
              <w:t xml:space="preserve"> </w:t>
            </w:r>
            <w:r w:rsidR="008D00F8">
              <w:t xml:space="preserve">booking external providers. </w:t>
            </w:r>
          </w:p>
          <w:p w14:paraId="37694CED" w14:textId="72E4EA4E" w:rsidR="008D00F8" w:rsidRDefault="0011491E" w:rsidP="008629C0">
            <w:pPr>
              <w:pStyle w:val="ListParagraph"/>
              <w:numPr>
                <w:ilvl w:val="0"/>
                <w:numId w:val="5"/>
              </w:numPr>
            </w:pPr>
            <w:r>
              <w:t>Transport</w:t>
            </w:r>
            <w:r w:rsidR="00176AC8">
              <w:t xml:space="preserve"> challenges</w:t>
            </w:r>
            <w:r>
              <w:t xml:space="preserve"> w</w:t>
            </w:r>
            <w:r w:rsidR="00176AC8">
              <w:t>ere</w:t>
            </w:r>
            <w:r>
              <w:t xml:space="preserve"> </w:t>
            </w:r>
            <w:r w:rsidR="00176AC8">
              <w:t>reported in several responses, including availability of minibuses</w:t>
            </w:r>
            <w:r w:rsidR="00FF51C5">
              <w:t xml:space="preserve"> plus ones with </w:t>
            </w:r>
            <w:r w:rsidR="009D54FA">
              <w:t>tow bars</w:t>
            </w:r>
            <w:r w:rsidR="00FF51C5">
              <w:t xml:space="preserve">; and restriction on distance e.g. not </w:t>
            </w:r>
            <w:r w:rsidR="00BB6CE4">
              <w:t>permitted</w:t>
            </w:r>
            <w:r w:rsidR="00FF51C5">
              <w:t xml:space="preserve"> beyond LA boundary</w:t>
            </w:r>
            <w:r w:rsidR="00BB6CE4">
              <w:t xml:space="preserve">. </w:t>
            </w:r>
          </w:p>
          <w:p w14:paraId="4FBE855D" w14:textId="121D6B7D" w:rsidR="00B818B9" w:rsidRDefault="008D00F8" w:rsidP="008629C0">
            <w:pPr>
              <w:pStyle w:val="ListParagraph"/>
              <w:numPr>
                <w:ilvl w:val="0"/>
                <w:numId w:val="5"/>
              </w:numPr>
            </w:pPr>
            <w:r>
              <w:t xml:space="preserve">Many responses across different questions detailed issues with meeting demand/capacity, including </w:t>
            </w:r>
            <w:r w:rsidR="00B818B9">
              <w:t xml:space="preserve">difficulty in recruiting staff. </w:t>
            </w:r>
            <w:r>
              <w:t xml:space="preserve"> </w:t>
            </w:r>
          </w:p>
          <w:p w14:paraId="723ADC32" w14:textId="556D7E6B" w:rsidR="00265213" w:rsidRDefault="00B818B9" w:rsidP="008629C0">
            <w:pPr>
              <w:pStyle w:val="ListParagraph"/>
              <w:numPr>
                <w:ilvl w:val="0"/>
                <w:numId w:val="5"/>
              </w:numPr>
            </w:pPr>
            <w:r>
              <w:t xml:space="preserve">Inconsistences across LAs. </w:t>
            </w:r>
          </w:p>
          <w:p w14:paraId="06603842" w14:textId="39CA23E0" w:rsidR="00CC704F" w:rsidRDefault="00265213" w:rsidP="008629C0">
            <w:pPr>
              <w:pStyle w:val="ListParagraph"/>
              <w:numPr>
                <w:ilvl w:val="0"/>
                <w:numId w:val="5"/>
              </w:numPr>
            </w:pPr>
            <w:r>
              <w:t>Different parts of the LA working in ‘silos’</w:t>
            </w:r>
            <w:r w:rsidR="00CC704F">
              <w:t xml:space="preserve">. </w:t>
            </w:r>
          </w:p>
          <w:p w14:paraId="5E60FF03" w14:textId="2E7D5A74" w:rsidR="00BB6CE4" w:rsidRDefault="00F96CB9" w:rsidP="008629C0">
            <w:pPr>
              <w:pStyle w:val="ListParagraph"/>
              <w:numPr>
                <w:ilvl w:val="0"/>
                <w:numId w:val="5"/>
              </w:numPr>
            </w:pPr>
            <w:r>
              <w:t>Variance in c</w:t>
            </w:r>
            <w:r w:rsidR="00CC704F">
              <w:t xml:space="preserve">onfidence and skills of the workforce, which affects consistency. </w:t>
            </w:r>
          </w:p>
          <w:p w14:paraId="05A1B3BD" w14:textId="00FC9C96" w:rsidR="00BB6CE4" w:rsidRDefault="00BB6CE4" w:rsidP="006B3542">
            <w:pPr>
              <w:pStyle w:val="ListParagraph"/>
              <w:numPr>
                <w:ilvl w:val="0"/>
                <w:numId w:val="5"/>
              </w:numPr>
            </w:pPr>
            <w:r>
              <w:t xml:space="preserve">Restricted or non-use of changing rooms. </w:t>
            </w:r>
          </w:p>
        </w:tc>
      </w:tr>
    </w:tbl>
    <w:p w14:paraId="3DE2D6AE" w14:textId="6E15844A" w:rsidR="0048690B" w:rsidRDefault="0048690B"/>
    <w:tbl>
      <w:tblPr>
        <w:tblStyle w:val="TableGrid"/>
        <w:tblW w:w="15593" w:type="dxa"/>
        <w:tblInd w:w="-856" w:type="dxa"/>
        <w:tblLook w:val="04A0" w:firstRow="1" w:lastRow="0" w:firstColumn="1" w:lastColumn="0" w:noHBand="0" w:noVBand="1"/>
      </w:tblPr>
      <w:tblGrid>
        <w:gridCol w:w="15593"/>
      </w:tblGrid>
      <w:tr w:rsidR="002E50B6" w:rsidRPr="00CB7621" w14:paraId="09F7B70A" w14:textId="77777777" w:rsidTr="0014031E">
        <w:tc>
          <w:tcPr>
            <w:tcW w:w="15593" w:type="dxa"/>
            <w:shd w:val="clear" w:color="auto" w:fill="FFFF00"/>
          </w:tcPr>
          <w:p w14:paraId="1FB5512C" w14:textId="0483CFFF" w:rsidR="002E50B6" w:rsidRPr="00CB7621" w:rsidRDefault="002E50B6" w:rsidP="0014031E">
            <w:pPr>
              <w:rPr>
                <w:rFonts w:cs="Calibri"/>
                <w:b/>
                <w:bCs/>
                <w:color w:val="92D050"/>
                <w:sz w:val="36"/>
                <w:szCs w:val="36"/>
                <w:u w:val="single"/>
              </w:rPr>
            </w:pPr>
            <w:r w:rsidRPr="00E12BDE">
              <w:rPr>
                <w:rFonts w:cs="Calibri"/>
                <w:b/>
                <w:bCs/>
                <w:color w:val="538135" w:themeColor="accent6" w:themeShade="BF"/>
                <w:sz w:val="36"/>
                <w:szCs w:val="36"/>
                <w:u w:val="single"/>
              </w:rPr>
              <w:t xml:space="preserve">Question </w:t>
            </w:r>
            <w:r>
              <w:rPr>
                <w:rFonts w:cs="Calibri"/>
                <w:b/>
                <w:bCs/>
                <w:color w:val="538135" w:themeColor="accent6" w:themeShade="BF"/>
                <w:sz w:val="36"/>
                <w:szCs w:val="36"/>
                <w:u w:val="single"/>
              </w:rPr>
              <w:t>3</w:t>
            </w:r>
            <w:r w:rsidRPr="00E12BDE">
              <w:rPr>
                <w:rFonts w:cs="Calibri"/>
                <w:color w:val="538135" w:themeColor="accent6" w:themeShade="BF"/>
                <w:sz w:val="36"/>
                <w:szCs w:val="36"/>
              </w:rPr>
              <w:t xml:space="preserve"> </w:t>
            </w:r>
            <w:r w:rsidR="00B34A4B">
              <w:rPr>
                <w:rFonts w:cs="Calibri"/>
              </w:rPr>
              <w:t>Share solution examples.</w:t>
            </w:r>
          </w:p>
        </w:tc>
      </w:tr>
      <w:tr w:rsidR="002E50B6" w14:paraId="1FA3B8B9" w14:textId="77777777" w:rsidTr="0014031E">
        <w:tc>
          <w:tcPr>
            <w:tcW w:w="15593" w:type="dxa"/>
          </w:tcPr>
          <w:p w14:paraId="5D773DD0" w14:textId="23A63B5B" w:rsidR="002E50B6" w:rsidRPr="00D064FD" w:rsidRDefault="00594643" w:rsidP="0014031E">
            <w:pPr>
              <w:pStyle w:val="ListParagraph"/>
              <w:numPr>
                <w:ilvl w:val="0"/>
                <w:numId w:val="5"/>
              </w:numPr>
            </w:pPr>
            <w:r w:rsidRPr="008629C0">
              <w:t>Staying local so no transport required.</w:t>
            </w:r>
            <w:r w:rsidR="00AB744A" w:rsidRPr="008629C0">
              <w:t xml:space="preserve"> / </w:t>
            </w:r>
            <w:proofErr w:type="gramStart"/>
            <w:r w:rsidR="008629C0" w:rsidRPr="008629C0">
              <w:t>localised</w:t>
            </w:r>
            <w:proofErr w:type="gramEnd"/>
            <w:r w:rsidR="00AB744A" w:rsidRPr="008629C0">
              <w:t xml:space="preserve"> activities (opened up new possibilities).</w:t>
            </w:r>
          </w:p>
          <w:p w14:paraId="6D22CD36" w14:textId="27A11AA7" w:rsidR="00D064FD" w:rsidRPr="00E3269B" w:rsidRDefault="00F6425C" w:rsidP="0014031E">
            <w:pPr>
              <w:pStyle w:val="ListParagraph"/>
              <w:numPr>
                <w:ilvl w:val="0"/>
                <w:numId w:val="5"/>
              </w:numPr>
            </w:pPr>
            <w:r>
              <w:t xml:space="preserve">Adapt to local/national restrictions. </w:t>
            </w:r>
            <w:r w:rsidR="00D064FD" w:rsidRPr="008629C0">
              <w:t xml:space="preserve">Supporting staff in interpreting COVID rules e.g. </w:t>
            </w:r>
            <w:r w:rsidR="00E3269B" w:rsidRPr="008629C0">
              <w:t xml:space="preserve">‘local’/LA position statements – adding more detail to SG guidance. </w:t>
            </w:r>
          </w:p>
          <w:p w14:paraId="4DB52787" w14:textId="6DF582F6" w:rsidR="00F6425C" w:rsidRDefault="00F6425C" w:rsidP="0014031E">
            <w:pPr>
              <w:pStyle w:val="ListParagraph"/>
              <w:numPr>
                <w:ilvl w:val="0"/>
                <w:numId w:val="5"/>
              </w:numPr>
            </w:pPr>
            <w:r>
              <w:t>Lots of CPD to support workforce including volunteers</w:t>
            </w:r>
            <w:r w:rsidR="009D54FA">
              <w:t xml:space="preserve"> (adapt and create professional learning)</w:t>
            </w:r>
            <w:r>
              <w:t xml:space="preserve">. </w:t>
            </w:r>
          </w:p>
          <w:p w14:paraId="71D3E3C4" w14:textId="5A5471B4" w:rsidR="00F6425C" w:rsidRDefault="000F4C64" w:rsidP="0014031E">
            <w:pPr>
              <w:pStyle w:val="ListParagraph"/>
              <w:numPr>
                <w:ilvl w:val="0"/>
                <w:numId w:val="5"/>
              </w:numPr>
            </w:pPr>
            <w:r>
              <w:t>Share resources across SAPOE/</w:t>
            </w:r>
            <w:r w:rsidR="008F5466">
              <w:t xml:space="preserve">LAs to support capacity </w:t>
            </w:r>
            <w:r w:rsidR="008629C0">
              <w:t xml:space="preserve">– regional approach. </w:t>
            </w:r>
          </w:p>
          <w:p w14:paraId="5F1BBA98" w14:textId="77777777" w:rsidR="008F5466" w:rsidRDefault="008F5466" w:rsidP="0014031E">
            <w:pPr>
              <w:pStyle w:val="ListParagraph"/>
              <w:numPr>
                <w:ilvl w:val="0"/>
                <w:numId w:val="5"/>
              </w:numPr>
            </w:pPr>
            <w:r>
              <w:t xml:space="preserve">Encourage schools/services to review and renew their curriculum rationale. </w:t>
            </w:r>
          </w:p>
          <w:p w14:paraId="01EE65D8" w14:textId="4572D77A" w:rsidR="00350C5C" w:rsidRDefault="008629C0" w:rsidP="00350C5C">
            <w:pPr>
              <w:pStyle w:val="ListParagraph"/>
              <w:numPr>
                <w:ilvl w:val="0"/>
                <w:numId w:val="5"/>
              </w:numPr>
            </w:pPr>
            <w:r>
              <w:t xml:space="preserve">Establishing and developing partnerships. </w:t>
            </w:r>
          </w:p>
          <w:p w14:paraId="61C14433" w14:textId="18393B85" w:rsidR="00350C5C" w:rsidRDefault="00350C5C" w:rsidP="00350C5C">
            <w:pPr>
              <w:pStyle w:val="ListParagraph"/>
              <w:numPr>
                <w:ilvl w:val="0"/>
                <w:numId w:val="5"/>
              </w:numPr>
            </w:pPr>
            <w:r>
              <w:t xml:space="preserve">Engaged with ‘local’ Outdoor Education Centres to meet demand. </w:t>
            </w:r>
          </w:p>
          <w:p w14:paraId="31AEF2C2" w14:textId="47168180" w:rsidR="008629C0" w:rsidRDefault="00350C5C" w:rsidP="00350C5C">
            <w:pPr>
              <w:pStyle w:val="ListParagraph"/>
              <w:numPr>
                <w:ilvl w:val="0"/>
                <w:numId w:val="5"/>
              </w:numPr>
            </w:pPr>
            <w:r>
              <w:t xml:space="preserve">Using marquees for changing. </w:t>
            </w:r>
          </w:p>
        </w:tc>
      </w:tr>
    </w:tbl>
    <w:p w14:paraId="4A80FE92" w14:textId="54F6A8F5" w:rsidR="002E50B6" w:rsidRDefault="002E50B6"/>
    <w:p w14:paraId="15BC952D" w14:textId="12B19DE3" w:rsidR="00350C5C" w:rsidRDefault="00350C5C"/>
    <w:p w14:paraId="4302C5F6" w14:textId="5C71468E" w:rsidR="00350C5C" w:rsidRDefault="00350C5C"/>
    <w:p w14:paraId="00ACADC6" w14:textId="0A3C2595" w:rsidR="00350C5C" w:rsidRDefault="00350C5C"/>
    <w:p w14:paraId="407A796E" w14:textId="77777777" w:rsidR="00350C5C" w:rsidRDefault="00350C5C"/>
    <w:p w14:paraId="5BED282D" w14:textId="342B1E64" w:rsidR="00350C5C" w:rsidRDefault="00350C5C"/>
    <w:p w14:paraId="7539A636" w14:textId="77777777" w:rsidR="00350C5C" w:rsidRDefault="00350C5C"/>
    <w:tbl>
      <w:tblPr>
        <w:tblStyle w:val="TableGrid"/>
        <w:tblW w:w="15593" w:type="dxa"/>
        <w:tblInd w:w="-856" w:type="dxa"/>
        <w:tblLook w:val="04A0" w:firstRow="1" w:lastRow="0" w:firstColumn="1" w:lastColumn="0" w:noHBand="0" w:noVBand="1"/>
      </w:tblPr>
      <w:tblGrid>
        <w:gridCol w:w="7796"/>
        <w:gridCol w:w="7797"/>
      </w:tblGrid>
      <w:tr w:rsidR="00E564B5" w:rsidRPr="00CB7621" w14:paraId="2468DCDD" w14:textId="77777777" w:rsidTr="0014031E">
        <w:tc>
          <w:tcPr>
            <w:tcW w:w="15593" w:type="dxa"/>
            <w:gridSpan w:val="2"/>
            <w:shd w:val="clear" w:color="auto" w:fill="FFFF00"/>
          </w:tcPr>
          <w:p w14:paraId="60A7E77F" w14:textId="242F7A0A" w:rsidR="00E564B5" w:rsidRPr="00450E2B" w:rsidRDefault="00E564B5" w:rsidP="00450E2B">
            <w:pPr>
              <w:spacing w:line="276" w:lineRule="auto"/>
              <w:rPr>
                <w:rFonts w:ascii="Calibri" w:hAnsi="Calibri" w:cs="Calibri"/>
              </w:rPr>
            </w:pPr>
            <w:r w:rsidRPr="00E12BDE">
              <w:rPr>
                <w:rFonts w:cs="Calibri"/>
                <w:b/>
                <w:bCs/>
                <w:color w:val="538135" w:themeColor="accent6" w:themeShade="BF"/>
                <w:sz w:val="36"/>
                <w:szCs w:val="36"/>
                <w:u w:val="single"/>
              </w:rPr>
              <w:lastRenderedPageBreak/>
              <w:t>Question</w:t>
            </w:r>
            <w:r>
              <w:rPr>
                <w:rFonts w:cs="Calibri"/>
                <w:b/>
                <w:bCs/>
                <w:color w:val="538135" w:themeColor="accent6" w:themeShade="BF"/>
                <w:sz w:val="36"/>
                <w:szCs w:val="36"/>
                <w:u w:val="single"/>
              </w:rPr>
              <w:t>4</w:t>
            </w:r>
            <w:r w:rsidRPr="00E12BDE">
              <w:rPr>
                <w:rFonts w:cs="Calibri"/>
                <w:color w:val="538135" w:themeColor="accent6" w:themeShade="BF"/>
                <w:sz w:val="36"/>
                <w:szCs w:val="36"/>
              </w:rPr>
              <w:t xml:space="preserve"> </w:t>
            </w:r>
            <w:r w:rsidR="00450E2B">
              <w:rPr>
                <w:rFonts w:ascii="Calibri" w:hAnsi="Calibri" w:cs="Calibri"/>
              </w:rPr>
              <w:t>Which LA’s are delivering EVC / VL training based on SAPOE courses?</w:t>
            </w:r>
          </w:p>
        </w:tc>
      </w:tr>
      <w:tr w:rsidR="00450E2B" w14:paraId="76BEEACA" w14:textId="77777777" w:rsidTr="00350C5C">
        <w:trPr>
          <w:trHeight w:val="69"/>
        </w:trPr>
        <w:tc>
          <w:tcPr>
            <w:tcW w:w="7796" w:type="dxa"/>
            <w:shd w:val="clear" w:color="auto" w:fill="D9D9D9" w:themeFill="background1" w:themeFillShade="D9"/>
          </w:tcPr>
          <w:p w14:paraId="4A16DBDA" w14:textId="586C82CD" w:rsidR="00450E2B" w:rsidRDefault="00450E2B" w:rsidP="00450E2B">
            <w:pPr>
              <w:pStyle w:val="ListParagraph"/>
            </w:pPr>
            <w:r>
              <w:t xml:space="preserve">Response </w:t>
            </w:r>
          </w:p>
        </w:tc>
        <w:tc>
          <w:tcPr>
            <w:tcW w:w="7797" w:type="dxa"/>
            <w:shd w:val="clear" w:color="auto" w:fill="D9D9D9" w:themeFill="background1" w:themeFillShade="D9"/>
          </w:tcPr>
          <w:p w14:paraId="5DC5579C" w14:textId="44C98068" w:rsidR="00450E2B" w:rsidRDefault="00450E2B" w:rsidP="00450E2B">
            <w:pPr>
              <w:pStyle w:val="ListParagraph"/>
            </w:pPr>
            <w:r>
              <w:t>Number</w:t>
            </w:r>
          </w:p>
        </w:tc>
      </w:tr>
      <w:tr w:rsidR="00450E2B" w14:paraId="0C35BB36" w14:textId="77777777" w:rsidTr="00D45821">
        <w:trPr>
          <w:trHeight w:val="67"/>
        </w:trPr>
        <w:tc>
          <w:tcPr>
            <w:tcW w:w="7796" w:type="dxa"/>
          </w:tcPr>
          <w:p w14:paraId="25830074" w14:textId="3F9766F2" w:rsidR="00450E2B" w:rsidRDefault="00450E2B" w:rsidP="00450E2B">
            <w:pPr>
              <w:pStyle w:val="ListParagraph"/>
            </w:pPr>
            <w:r>
              <w:t xml:space="preserve">Delivering some </w:t>
            </w:r>
            <w:r w:rsidR="00D67D88">
              <w:rPr>
                <w:rFonts w:ascii="Calibri" w:hAnsi="Calibri" w:cs="Calibri"/>
              </w:rPr>
              <w:t>EVC / VL training based on SAPOE courses:</w:t>
            </w:r>
          </w:p>
        </w:tc>
        <w:tc>
          <w:tcPr>
            <w:tcW w:w="7797" w:type="dxa"/>
          </w:tcPr>
          <w:p w14:paraId="33C0F2F7" w14:textId="34D6A5E2" w:rsidR="00450E2B" w:rsidRDefault="009A36AD" w:rsidP="00450E2B">
            <w:pPr>
              <w:pStyle w:val="ListParagraph"/>
            </w:pPr>
            <w:r>
              <w:t>3</w:t>
            </w:r>
          </w:p>
        </w:tc>
      </w:tr>
      <w:tr w:rsidR="00B54554" w14:paraId="611D2B02" w14:textId="77777777" w:rsidTr="00D45821">
        <w:trPr>
          <w:trHeight w:val="67"/>
        </w:trPr>
        <w:tc>
          <w:tcPr>
            <w:tcW w:w="7796" w:type="dxa"/>
          </w:tcPr>
          <w:p w14:paraId="03B95DB6" w14:textId="5FE1D56D" w:rsidR="00B54554" w:rsidRDefault="00B54554" w:rsidP="00B54554">
            <w:pPr>
              <w:pStyle w:val="ListParagraph"/>
            </w:pPr>
            <w:r>
              <w:t xml:space="preserve">Delivering their own LA-specific courses: </w:t>
            </w:r>
          </w:p>
        </w:tc>
        <w:tc>
          <w:tcPr>
            <w:tcW w:w="7797" w:type="dxa"/>
          </w:tcPr>
          <w:p w14:paraId="4C4A7FFF" w14:textId="6E14C519" w:rsidR="00B54554" w:rsidRDefault="009A36AD" w:rsidP="00B54554">
            <w:pPr>
              <w:pStyle w:val="ListParagraph"/>
            </w:pPr>
            <w:r>
              <w:t>4</w:t>
            </w:r>
          </w:p>
        </w:tc>
      </w:tr>
      <w:tr w:rsidR="00500AA6" w14:paraId="24DEDF86" w14:textId="77777777" w:rsidTr="00D45821">
        <w:trPr>
          <w:trHeight w:val="67"/>
        </w:trPr>
        <w:tc>
          <w:tcPr>
            <w:tcW w:w="7796" w:type="dxa"/>
          </w:tcPr>
          <w:p w14:paraId="2A6E119E" w14:textId="14DECB09" w:rsidR="00500AA6" w:rsidRDefault="00500AA6" w:rsidP="00B54554">
            <w:pPr>
              <w:pStyle w:val="ListParagraph"/>
            </w:pPr>
            <w:r>
              <w:t xml:space="preserve">Not </w:t>
            </w:r>
            <w:r w:rsidR="00944877">
              <w:t xml:space="preserve">currently </w:t>
            </w:r>
            <w:r>
              <w:t xml:space="preserve">delivering offsite visit </w:t>
            </w:r>
            <w:r w:rsidR="00944877">
              <w:t>training (SAPOE or non-SAPOE):</w:t>
            </w:r>
            <w:r>
              <w:t xml:space="preserve"> </w:t>
            </w:r>
          </w:p>
        </w:tc>
        <w:tc>
          <w:tcPr>
            <w:tcW w:w="7797" w:type="dxa"/>
          </w:tcPr>
          <w:p w14:paraId="5BA6B0F0" w14:textId="34F38FFE" w:rsidR="00500AA6" w:rsidRDefault="00FF5742" w:rsidP="00B54554">
            <w:pPr>
              <w:pStyle w:val="ListParagraph"/>
            </w:pPr>
            <w:r>
              <w:t>3</w:t>
            </w:r>
          </w:p>
        </w:tc>
      </w:tr>
      <w:tr w:rsidR="00B54554" w14:paraId="67BB2D41" w14:textId="77777777" w:rsidTr="00D45821">
        <w:trPr>
          <w:trHeight w:val="67"/>
        </w:trPr>
        <w:tc>
          <w:tcPr>
            <w:tcW w:w="7796" w:type="dxa"/>
          </w:tcPr>
          <w:p w14:paraId="1A50D167" w14:textId="7EB89DF2" w:rsidR="00B54554" w:rsidRDefault="00B54554" w:rsidP="00B54554">
            <w:pPr>
              <w:pStyle w:val="ListParagraph"/>
            </w:pPr>
            <w:r>
              <w:t>No response/not sure:</w:t>
            </w:r>
          </w:p>
        </w:tc>
        <w:tc>
          <w:tcPr>
            <w:tcW w:w="7797" w:type="dxa"/>
          </w:tcPr>
          <w:p w14:paraId="297E276C" w14:textId="2D13FDBA" w:rsidR="00B54554" w:rsidRDefault="009A36AD" w:rsidP="00B54554">
            <w:pPr>
              <w:pStyle w:val="ListParagraph"/>
            </w:pPr>
            <w:r>
              <w:t>2</w:t>
            </w:r>
          </w:p>
        </w:tc>
      </w:tr>
      <w:tr w:rsidR="00500AA6" w14:paraId="5BD14D7F" w14:textId="77777777" w:rsidTr="00D45821">
        <w:trPr>
          <w:trHeight w:val="67"/>
        </w:trPr>
        <w:tc>
          <w:tcPr>
            <w:tcW w:w="7796" w:type="dxa"/>
          </w:tcPr>
          <w:p w14:paraId="5775A180" w14:textId="3ACECFAB" w:rsidR="00500AA6" w:rsidRDefault="00500AA6" w:rsidP="00B54554">
            <w:pPr>
              <w:pStyle w:val="ListParagraph"/>
            </w:pPr>
            <w:r>
              <w:t>Additional comment</w:t>
            </w:r>
          </w:p>
        </w:tc>
        <w:tc>
          <w:tcPr>
            <w:tcW w:w="7797" w:type="dxa"/>
          </w:tcPr>
          <w:p w14:paraId="548114A5" w14:textId="77777777" w:rsidR="00500AA6" w:rsidRDefault="00941010" w:rsidP="00B54554">
            <w:pPr>
              <w:pStyle w:val="ListParagraph"/>
            </w:pPr>
            <w:r>
              <w:t xml:space="preserve">Responses indicate an interest in developing new/updated training. </w:t>
            </w:r>
          </w:p>
          <w:p w14:paraId="69D68660" w14:textId="77777777" w:rsidR="00941010" w:rsidRDefault="00941010" w:rsidP="00B54554">
            <w:pPr>
              <w:pStyle w:val="ListParagraph"/>
            </w:pPr>
            <w:r>
              <w:t xml:space="preserve">Many LAs deliver EVOLVE training which </w:t>
            </w:r>
            <w:r w:rsidR="00EA1A1E">
              <w:t>incorporates</w:t>
            </w:r>
            <w:r>
              <w:t xml:space="preserve"> offsite visits training. </w:t>
            </w:r>
          </w:p>
          <w:p w14:paraId="56C1972C" w14:textId="64ECEB64" w:rsidR="00D239E7" w:rsidRDefault="00D239E7" w:rsidP="00B54554">
            <w:pPr>
              <w:pStyle w:val="ListParagraph"/>
            </w:pPr>
            <w:r>
              <w:t>One group expressed an interest in a ‘</w:t>
            </w:r>
            <w:r w:rsidR="00F66314">
              <w:t>common</w:t>
            </w:r>
            <w:r>
              <w:t xml:space="preserve"> course’ that </w:t>
            </w:r>
            <w:r w:rsidR="00F66314">
              <w:t xml:space="preserve">is used across Scotland. </w:t>
            </w:r>
          </w:p>
        </w:tc>
      </w:tr>
    </w:tbl>
    <w:p w14:paraId="050F5C22" w14:textId="73076703" w:rsidR="00E564B5" w:rsidRDefault="00E564B5"/>
    <w:tbl>
      <w:tblPr>
        <w:tblStyle w:val="TableGrid"/>
        <w:tblW w:w="15593" w:type="dxa"/>
        <w:tblInd w:w="-856" w:type="dxa"/>
        <w:tblLook w:val="04A0" w:firstRow="1" w:lastRow="0" w:firstColumn="1" w:lastColumn="0" w:noHBand="0" w:noVBand="1"/>
      </w:tblPr>
      <w:tblGrid>
        <w:gridCol w:w="15593"/>
      </w:tblGrid>
      <w:tr w:rsidR="00D239E7" w:rsidRPr="00CB7621" w14:paraId="5122978E" w14:textId="77777777" w:rsidTr="0014031E">
        <w:tc>
          <w:tcPr>
            <w:tcW w:w="15593" w:type="dxa"/>
            <w:shd w:val="clear" w:color="auto" w:fill="FFFF00"/>
          </w:tcPr>
          <w:p w14:paraId="0671A70F" w14:textId="3A430FA9" w:rsidR="00D239E7" w:rsidRPr="0019416C" w:rsidRDefault="00D239E7" w:rsidP="0019416C">
            <w:pPr>
              <w:spacing w:line="276" w:lineRule="auto"/>
              <w:rPr>
                <w:rFonts w:ascii="Calibri" w:hAnsi="Calibri" w:cs="Calibri"/>
              </w:rPr>
            </w:pPr>
            <w:r w:rsidRPr="00E12BDE">
              <w:rPr>
                <w:rFonts w:cs="Calibri"/>
                <w:b/>
                <w:bCs/>
                <w:color w:val="538135" w:themeColor="accent6" w:themeShade="BF"/>
                <w:sz w:val="36"/>
                <w:szCs w:val="36"/>
                <w:u w:val="single"/>
              </w:rPr>
              <w:t xml:space="preserve">Question </w:t>
            </w:r>
            <w:r>
              <w:rPr>
                <w:rFonts w:cs="Calibri"/>
                <w:b/>
                <w:bCs/>
                <w:color w:val="538135" w:themeColor="accent6" w:themeShade="BF"/>
                <w:sz w:val="36"/>
                <w:szCs w:val="36"/>
                <w:u w:val="single"/>
              </w:rPr>
              <w:t>5</w:t>
            </w:r>
            <w:r w:rsidRPr="00E12BDE">
              <w:rPr>
                <w:rFonts w:cs="Calibri"/>
                <w:color w:val="538135" w:themeColor="accent6" w:themeShade="BF"/>
                <w:sz w:val="36"/>
                <w:szCs w:val="36"/>
              </w:rPr>
              <w:t xml:space="preserve"> </w:t>
            </w:r>
            <w:r w:rsidR="0019416C">
              <w:rPr>
                <w:rFonts w:ascii="Calibri" w:hAnsi="Calibri" w:cs="Calibri"/>
              </w:rPr>
              <w:t>What topics or issues would you find most useful and relevant to cover through SAPOE meetings over the next 12 months?</w:t>
            </w:r>
          </w:p>
        </w:tc>
      </w:tr>
      <w:tr w:rsidR="00D239E7" w14:paraId="343D9908" w14:textId="77777777" w:rsidTr="0014031E">
        <w:tc>
          <w:tcPr>
            <w:tcW w:w="15593" w:type="dxa"/>
          </w:tcPr>
          <w:p w14:paraId="6E0276B0" w14:textId="6B9D9BA4" w:rsidR="0076369D" w:rsidRPr="00875609" w:rsidRDefault="0076369D" w:rsidP="00875609">
            <w:pPr>
              <w:pStyle w:val="ListParagraph"/>
              <w:numPr>
                <w:ilvl w:val="0"/>
                <w:numId w:val="7"/>
              </w:numPr>
            </w:pPr>
            <w:r w:rsidRPr="00875609">
              <w:t>Ideas recorded by groups (in no order and grouped):</w:t>
            </w:r>
          </w:p>
          <w:p w14:paraId="6CC7EEBA" w14:textId="6F90391E" w:rsidR="00575A1A" w:rsidRPr="00875609" w:rsidRDefault="0040111F" w:rsidP="00875609">
            <w:pPr>
              <w:pStyle w:val="ListParagraph"/>
              <w:numPr>
                <w:ilvl w:val="0"/>
                <w:numId w:val="7"/>
              </w:numPr>
            </w:pPr>
            <w:r w:rsidRPr="00875609">
              <w:t>Opportunities to share good practice/ overcoming hurdles/ problem solving</w:t>
            </w:r>
            <w:r w:rsidR="0076369D" w:rsidRPr="00875609">
              <w:t>.</w:t>
            </w:r>
          </w:p>
          <w:p w14:paraId="54AE8AE9" w14:textId="698915D5" w:rsidR="0076369D" w:rsidRPr="00875609" w:rsidRDefault="00575A1A" w:rsidP="00875609">
            <w:pPr>
              <w:pStyle w:val="ListParagraph"/>
              <w:numPr>
                <w:ilvl w:val="0"/>
                <w:numId w:val="7"/>
              </w:numPr>
            </w:pPr>
            <w:r w:rsidRPr="00875609">
              <w:t>Small group discussions</w:t>
            </w:r>
            <w:r w:rsidR="0076369D" w:rsidRPr="00875609">
              <w:t>.</w:t>
            </w:r>
            <w:r w:rsidR="00CB43CD" w:rsidRPr="00875609">
              <w:t xml:space="preserve"> More breakout room type discussions</w:t>
            </w:r>
            <w:r w:rsidR="007773A6" w:rsidRPr="00875609">
              <w:t xml:space="preserve">. Consider membership for discussions so ‘spread of expertise’. </w:t>
            </w:r>
          </w:p>
          <w:p w14:paraId="5D78D4C3" w14:textId="77777777" w:rsidR="00880C4C" w:rsidRPr="00875609" w:rsidRDefault="00880C4C" w:rsidP="00875609">
            <w:pPr>
              <w:pStyle w:val="ListParagraph"/>
              <w:numPr>
                <w:ilvl w:val="0"/>
                <w:numId w:val="7"/>
              </w:numPr>
            </w:pPr>
            <w:r w:rsidRPr="00875609">
              <w:t>Developing more sustainable models for residentials</w:t>
            </w:r>
          </w:p>
          <w:p w14:paraId="2FD81FFE" w14:textId="77777777" w:rsidR="003B7F2A" w:rsidRPr="00875609" w:rsidRDefault="003B7F2A" w:rsidP="00875609">
            <w:pPr>
              <w:pStyle w:val="ListParagraph"/>
              <w:numPr>
                <w:ilvl w:val="0"/>
                <w:numId w:val="7"/>
              </w:numPr>
            </w:pPr>
            <w:r w:rsidRPr="00875609">
              <w:t xml:space="preserve">Working with Scot Gov to provide reassurance to LAs and schools re financial risk </w:t>
            </w:r>
          </w:p>
          <w:p w14:paraId="07D3B121" w14:textId="03874D59" w:rsidR="00B541AF" w:rsidRPr="00875609" w:rsidRDefault="00B541AF" w:rsidP="00875609">
            <w:pPr>
              <w:pStyle w:val="ListParagraph"/>
              <w:numPr>
                <w:ilvl w:val="0"/>
                <w:numId w:val="7"/>
              </w:numPr>
            </w:pPr>
            <w:r w:rsidRPr="00875609">
              <w:t>Role of technical advisors – more information on what this role means?</w:t>
            </w:r>
            <w:r w:rsidR="00875609" w:rsidRPr="00875609">
              <w:t xml:space="preserve"> </w:t>
            </w:r>
          </w:p>
          <w:p w14:paraId="10E608F0" w14:textId="77777777" w:rsidR="00875609" w:rsidRPr="00875609" w:rsidRDefault="00875609" w:rsidP="00875609">
            <w:pPr>
              <w:pStyle w:val="ListParagraph"/>
              <w:numPr>
                <w:ilvl w:val="0"/>
                <w:numId w:val="7"/>
              </w:numPr>
            </w:pPr>
            <w:r w:rsidRPr="00875609">
              <w:t>More engagemen</w:t>
            </w:r>
            <w:r>
              <w:t>t</w:t>
            </w:r>
            <w:r w:rsidRPr="00875609">
              <w:t xml:space="preserve"> with NGB’s. Retain and enhance national governing body links.</w:t>
            </w:r>
          </w:p>
          <w:p w14:paraId="7D596861" w14:textId="304946ED" w:rsidR="00587769" w:rsidRPr="00875609" w:rsidRDefault="00875609" w:rsidP="00875609">
            <w:pPr>
              <w:pStyle w:val="ListParagraph"/>
              <w:numPr>
                <w:ilvl w:val="0"/>
                <w:numId w:val="7"/>
              </w:numPr>
            </w:pPr>
            <w:r>
              <w:t>Addressing i</w:t>
            </w:r>
            <w:r w:rsidR="00587769" w:rsidRPr="00875609">
              <w:t xml:space="preserve">ssues – </w:t>
            </w:r>
            <w:r>
              <w:t>i</w:t>
            </w:r>
            <w:r w:rsidR="00587769" w:rsidRPr="00875609">
              <w:t xml:space="preserve">nconsistencies over what OL local authorities are able and cannot do.  </w:t>
            </w:r>
          </w:p>
          <w:p w14:paraId="4AA21C22" w14:textId="77777777" w:rsidR="00C57F00" w:rsidRPr="00875609" w:rsidRDefault="00C57F00" w:rsidP="00875609">
            <w:pPr>
              <w:pStyle w:val="ListParagraph"/>
              <w:numPr>
                <w:ilvl w:val="0"/>
                <w:numId w:val="7"/>
              </w:numPr>
            </w:pPr>
            <w:r w:rsidRPr="00875609">
              <w:t>Transport – minibus shortage.</w:t>
            </w:r>
          </w:p>
          <w:p w14:paraId="315C4BD7" w14:textId="77777777" w:rsidR="004D593C" w:rsidRPr="00875609" w:rsidRDefault="004D593C" w:rsidP="00875609">
            <w:pPr>
              <w:pStyle w:val="ListParagraph"/>
              <w:numPr>
                <w:ilvl w:val="0"/>
                <w:numId w:val="7"/>
              </w:numPr>
            </w:pPr>
            <w:r w:rsidRPr="00875609">
              <w:t xml:space="preserve">More accessibility to teachers for OL and SAPOE courses. </w:t>
            </w:r>
          </w:p>
          <w:p w14:paraId="72D878BD" w14:textId="0632AF3E" w:rsidR="00411F9D" w:rsidRPr="00875609" w:rsidRDefault="00411F9D" w:rsidP="00875609">
            <w:pPr>
              <w:pStyle w:val="ListParagraph"/>
              <w:numPr>
                <w:ilvl w:val="0"/>
                <w:numId w:val="7"/>
              </w:numPr>
            </w:pPr>
            <w:r w:rsidRPr="00875609">
              <w:t>COP 26</w:t>
            </w:r>
            <w:r w:rsidR="00875609">
              <w:t>.</w:t>
            </w:r>
          </w:p>
          <w:p w14:paraId="35764C91" w14:textId="10FE7031" w:rsidR="003D63D6" w:rsidRPr="00875609" w:rsidRDefault="003D63D6" w:rsidP="00875609">
            <w:pPr>
              <w:pStyle w:val="ListParagraph"/>
              <w:numPr>
                <w:ilvl w:val="0"/>
                <w:numId w:val="7"/>
              </w:numPr>
            </w:pPr>
            <w:r w:rsidRPr="00875609">
              <w:t>Promotion of Adventure Education</w:t>
            </w:r>
            <w:r w:rsidR="00875609">
              <w:t>.</w:t>
            </w:r>
          </w:p>
          <w:p w14:paraId="65C38B03" w14:textId="61799964" w:rsidR="00AB76CD" w:rsidRPr="00875609" w:rsidRDefault="003D63D6" w:rsidP="00875609">
            <w:pPr>
              <w:pStyle w:val="ListParagraph"/>
              <w:numPr>
                <w:ilvl w:val="0"/>
                <w:numId w:val="7"/>
              </w:numPr>
            </w:pPr>
            <w:r w:rsidRPr="00875609">
              <w:t xml:space="preserve">Addressing </w:t>
            </w:r>
            <w:r w:rsidR="00AB76CD" w:rsidRPr="00875609">
              <w:t>Financial Risk (COVID)</w:t>
            </w:r>
            <w:r w:rsidR="00A46DD5" w:rsidRPr="00875609">
              <w:t xml:space="preserve"> </w:t>
            </w:r>
            <w:r w:rsidR="00AB76CD" w:rsidRPr="00875609">
              <w:t>International Travel &amp; residentials</w:t>
            </w:r>
            <w:r w:rsidR="00875609">
              <w:t>.</w:t>
            </w:r>
            <w:r w:rsidR="00AB76CD" w:rsidRPr="00875609">
              <w:t xml:space="preserve"> </w:t>
            </w:r>
          </w:p>
          <w:p w14:paraId="2F7B1C9B" w14:textId="0C22B9A2" w:rsidR="00A46DD5" w:rsidRPr="00875609" w:rsidRDefault="00A46DD5" w:rsidP="00875609">
            <w:pPr>
              <w:pStyle w:val="ListParagraph"/>
              <w:numPr>
                <w:ilvl w:val="0"/>
                <w:numId w:val="7"/>
              </w:numPr>
            </w:pPr>
            <w:r w:rsidRPr="00875609">
              <w:t>Long term future of OE – facility closures not concurrent with OL aspirations</w:t>
            </w:r>
            <w:r w:rsidR="00875609">
              <w:t>.</w:t>
            </w:r>
            <w:r w:rsidRPr="00875609">
              <w:t xml:space="preserve"> </w:t>
            </w:r>
          </w:p>
          <w:p w14:paraId="5C048BDC" w14:textId="2B382750" w:rsidR="003D63D6" w:rsidRPr="00875609" w:rsidRDefault="005F175D" w:rsidP="00875609">
            <w:pPr>
              <w:pStyle w:val="ListParagraph"/>
              <w:numPr>
                <w:ilvl w:val="0"/>
                <w:numId w:val="7"/>
              </w:numPr>
            </w:pPr>
            <w:r w:rsidRPr="00875609">
              <w:t>Can new Minister brief their vision? All parties have it in manifestos that OL residentials</w:t>
            </w:r>
            <w:r w:rsidR="00875609">
              <w:t>.</w:t>
            </w:r>
          </w:p>
          <w:p w14:paraId="729CB8AB" w14:textId="590A8E3F" w:rsidR="00BE006F" w:rsidRPr="00875609" w:rsidRDefault="00BE006F" w:rsidP="00875609">
            <w:pPr>
              <w:pStyle w:val="ListParagraph"/>
              <w:numPr>
                <w:ilvl w:val="0"/>
                <w:numId w:val="7"/>
              </w:numPr>
            </w:pPr>
            <w:r w:rsidRPr="00875609">
              <w:t xml:space="preserve">Using PEF to support OL. </w:t>
            </w:r>
          </w:p>
          <w:p w14:paraId="04FFDFC1" w14:textId="1AD7F817" w:rsidR="00BE006F" w:rsidRPr="00875609" w:rsidRDefault="00BE006F" w:rsidP="00875609">
            <w:pPr>
              <w:pStyle w:val="ListParagraph"/>
              <w:numPr>
                <w:ilvl w:val="0"/>
                <w:numId w:val="7"/>
              </w:numPr>
            </w:pPr>
            <w:r w:rsidRPr="00875609">
              <w:t xml:space="preserve">Include/involve practising professionals e.g. those in schools. </w:t>
            </w:r>
          </w:p>
          <w:p w14:paraId="331B2A96" w14:textId="39A55BA8" w:rsidR="00D239E7" w:rsidRDefault="00D239E7" w:rsidP="00875609"/>
        </w:tc>
      </w:tr>
    </w:tbl>
    <w:p w14:paraId="7E07D8D2" w14:textId="77777777" w:rsidR="00D239E7" w:rsidRDefault="00D239E7"/>
    <w:sectPr w:rsidR="00D239E7" w:rsidSect="00FF237F">
      <w:pgSz w:w="16838" w:h="11906" w:orient="landscape"/>
      <w:pgMar w:top="567"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1C20"/>
    <w:multiLevelType w:val="hybridMultilevel"/>
    <w:tmpl w:val="492A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09046D"/>
    <w:multiLevelType w:val="hybridMultilevel"/>
    <w:tmpl w:val="E21A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022FF"/>
    <w:multiLevelType w:val="hybridMultilevel"/>
    <w:tmpl w:val="7D16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9086C"/>
    <w:multiLevelType w:val="hybridMultilevel"/>
    <w:tmpl w:val="9344361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4">
    <w:nsid w:val="47A96F2E"/>
    <w:multiLevelType w:val="hybridMultilevel"/>
    <w:tmpl w:val="41663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383E99"/>
    <w:multiLevelType w:val="hybridMultilevel"/>
    <w:tmpl w:val="D3C4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0C2F61"/>
    <w:multiLevelType w:val="hybridMultilevel"/>
    <w:tmpl w:val="A0624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2A"/>
    <w:rsid w:val="0001055B"/>
    <w:rsid w:val="00026A08"/>
    <w:rsid w:val="00043073"/>
    <w:rsid w:val="00057404"/>
    <w:rsid w:val="00075827"/>
    <w:rsid w:val="00092BA8"/>
    <w:rsid w:val="00094287"/>
    <w:rsid w:val="000B09D0"/>
    <w:rsid w:val="000B147B"/>
    <w:rsid w:val="000B1B52"/>
    <w:rsid w:val="000D43CC"/>
    <w:rsid w:val="000F1C5C"/>
    <w:rsid w:val="000F45AC"/>
    <w:rsid w:val="000F4C64"/>
    <w:rsid w:val="0011491E"/>
    <w:rsid w:val="00115644"/>
    <w:rsid w:val="00116439"/>
    <w:rsid w:val="00124A0B"/>
    <w:rsid w:val="0012672D"/>
    <w:rsid w:val="00133427"/>
    <w:rsid w:val="00142BCF"/>
    <w:rsid w:val="00145585"/>
    <w:rsid w:val="00156FBE"/>
    <w:rsid w:val="001678A9"/>
    <w:rsid w:val="00176AC8"/>
    <w:rsid w:val="0019416C"/>
    <w:rsid w:val="001B12EA"/>
    <w:rsid w:val="001B2DB6"/>
    <w:rsid w:val="00207C67"/>
    <w:rsid w:val="00214BA5"/>
    <w:rsid w:val="00225269"/>
    <w:rsid w:val="00230F00"/>
    <w:rsid w:val="00235EFD"/>
    <w:rsid w:val="002409E7"/>
    <w:rsid w:val="00242465"/>
    <w:rsid w:val="00254707"/>
    <w:rsid w:val="00265213"/>
    <w:rsid w:val="00282542"/>
    <w:rsid w:val="002E50B6"/>
    <w:rsid w:val="002F1E2A"/>
    <w:rsid w:val="00307EC4"/>
    <w:rsid w:val="003478A1"/>
    <w:rsid w:val="00350C5C"/>
    <w:rsid w:val="003629FC"/>
    <w:rsid w:val="003752E2"/>
    <w:rsid w:val="0038344D"/>
    <w:rsid w:val="00390E6C"/>
    <w:rsid w:val="003A0D47"/>
    <w:rsid w:val="003A26A9"/>
    <w:rsid w:val="003B29BC"/>
    <w:rsid w:val="003B7F2A"/>
    <w:rsid w:val="003C4D41"/>
    <w:rsid w:val="003C50FF"/>
    <w:rsid w:val="003C6139"/>
    <w:rsid w:val="003D520E"/>
    <w:rsid w:val="003D63D6"/>
    <w:rsid w:val="003E31AE"/>
    <w:rsid w:val="003E7CCC"/>
    <w:rsid w:val="003F37EA"/>
    <w:rsid w:val="0040111F"/>
    <w:rsid w:val="0040630E"/>
    <w:rsid w:val="004071EF"/>
    <w:rsid w:val="004105D7"/>
    <w:rsid w:val="00411F9D"/>
    <w:rsid w:val="004159AE"/>
    <w:rsid w:val="00420674"/>
    <w:rsid w:val="004319BB"/>
    <w:rsid w:val="00441B79"/>
    <w:rsid w:val="00450E2B"/>
    <w:rsid w:val="00472656"/>
    <w:rsid w:val="00480D09"/>
    <w:rsid w:val="0048690B"/>
    <w:rsid w:val="004B3E37"/>
    <w:rsid w:val="004C1314"/>
    <w:rsid w:val="004C6F4E"/>
    <w:rsid w:val="004D0A05"/>
    <w:rsid w:val="004D593C"/>
    <w:rsid w:val="004E40CD"/>
    <w:rsid w:val="00500AA6"/>
    <w:rsid w:val="00517857"/>
    <w:rsid w:val="005636C6"/>
    <w:rsid w:val="00567C48"/>
    <w:rsid w:val="00575A1A"/>
    <w:rsid w:val="00581189"/>
    <w:rsid w:val="00587769"/>
    <w:rsid w:val="00593100"/>
    <w:rsid w:val="00594643"/>
    <w:rsid w:val="00595A57"/>
    <w:rsid w:val="00597350"/>
    <w:rsid w:val="005D6C3C"/>
    <w:rsid w:val="005E7F3C"/>
    <w:rsid w:val="005F175D"/>
    <w:rsid w:val="00605C37"/>
    <w:rsid w:val="006654A3"/>
    <w:rsid w:val="00684623"/>
    <w:rsid w:val="006B243A"/>
    <w:rsid w:val="006B3542"/>
    <w:rsid w:val="006C1EB5"/>
    <w:rsid w:val="006C4CD0"/>
    <w:rsid w:val="006D0044"/>
    <w:rsid w:val="007444CE"/>
    <w:rsid w:val="00744E69"/>
    <w:rsid w:val="00747F27"/>
    <w:rsid w:val="0076369D"/>
    <w:rsid w:val="0077227D"/>
    <w:rsid w:val="0077241D"/>
    <w:rsid w:val="007773A6"/>
    <w:rsid w:val="0078564D"/>
    <w:rsid w:val="007975C1"/>
    <w:rsid w:val="007A4F72"/>
    <w:rsid w:val="007B7C52"/>
    <w:rsid w:val="007C7FFA"/>
    <w:rsid w:val="007D2970"/>
    <w:rsid w:val="008037D6"/>
    <w:rsid w:val="00816BD9"/>
    <w:rsid w:val="00821DF8"/>
    <w:rsid w:val="00826243"/>
    <w:rsid w:val="008629C0"/>
    <w:rsid w:val="00870D6A"/>
    <w:rsid w:val="00875609"/>
    <w:rsid w:val="00880C4C"/>
    <w:rsid w:val="008910D5"/>
    <w:rsid w:val="008A2B75"/>
    <w:rsid w:val="008B48EB"/>
    <w:rsid w:val="008D00F8"/>
    <w:rsid w:val="008D2698"/>
    <w:rsid w:val="008D3923"/>
    <w:rsid w:val="008D53C9"/>
    <w:rsid w:val="008E7093"/>
    <w:rsid w:val="008F5466"/>
    <w:rsid w:val="009142B8"/>
    <w:rsid w:val="00941010"/>
    <w:rsid w:val="00944877"/>
    <w:rsid w:val="0097214D"/>
    <w:rsid w:val="00991310"/>
    <w:rsid w:val="00996741"/>
    <w:rsid w:val="009A36AD"/>
    <w:rsid w:val="009B73A0"/>
    <w:rsid w:val="009C2493"/>
    <w:rsid w:val="009D54FA"/>
    <w:rsid w:val="009F59B9"/>
    <w:rsid w:val="009F7B12"/>
    <w:rsid w:val="00A0154C"/>
    <w:rsid w:val="00A03743"/>
    <w:rsid w:val="00A179D4"/>
    <w:rsid w:val="00A46DD5"/>
    <w:rsid w:val="00A5042E"/>
    <w:rsid w:val="00A57CE1"/>
    <w:rsid w:val="00A611BD"/>
    <w:rsid w:val="00A806B8"/>
    <w:rsid w:val="00A9276E"/>
    <w:rsid w:val="00A97AA5"/>
    <w:rsid w:val="00AA4639"/>
    <w:rsid w:val="00AB71CF"/>
    <w:rsid w:val="00AB744A"/>
    <w:rsid w:val="00AB76CD"/>
    <w:rsid w:val="00AC1240"/>
    <w:rsid w:val="00AC7447"/>
    <w:rsid w:val="00AD304C"/>
    <w:rsid w:val="00AD5B5F"/>
    <w:rsid w:val="00AE10D1"/>
    <w:rsid w:val="00AF0CCD"/>
    <w:rsid w:val="00AF78D3"/>
    <w:rsid w:val="00B00D7B"/>
    <w:rsid w:val="00B0661F"/>
    <w:rsid w:val="00B31DF1"/>
    <w:rsid w:val="00B34A4B"/>
    <w:rsid w:val="00B41A67"/>
    <w:rsid w:val="00B51232"/>
    <w:rsid w:val="00B541AF"/>
    <w:rsid w:val="00B54554"/>
    <w:rsid w:val="00B818B9"/>
    <w:rsid w:val="00BA7BB6"/>
    <w:rsid w:val="00BB1749"/>
    <w:rsid w:val="00BB2E2F"/>
    <w:rsid w:val="00BB6CE4"/>
    <w:rsid w:val="00BC33CF"/>
    <w:rsid w:val="00BD4881"/>
    <w:rsid w:val="00BE006F"/>
    <w:rsid w:val="00C00CF5"/>
    <w:rsid w:val="00C10246"/>
    <w:rsid w:val="00C41FD6"/>
    <w:rsid w:val="00C51EB1"/>
    <w:rsid w:val="00C57F00"/>
    <w:rsid w:val="00C67917"/>
    <w:rsid w:val="00C85C8C"/>
    <w:rsid w:val="00C93241"/>
    <w:rsid w:val="00CA0E65"/>
    <w:rsid w:val="00CA680D"/>
    <w:rsid w:val="00CA6D31"/>
    <w:rsid w:val="00CB43CD"/>
    <w:rsid w:val="00CB7621"/>
    <w:rsid w:val="00CC704F"/>
    <w:rsid w:val="00CC7EAC"/>
    <w:rsid w:val="00CD5608"/>
    <w:rsid w:val="00CE37EC"/>
    <w:rsid w:val="00D05707"/>
    <w:rsid w:val="00D064FD"/>
    <w:rsid w:val="00D06CF0"/>
    <w:rsid w:val="00D20B48"/>
    <w:rsid w:val="00D221C3"/>
    <w:rsid w:val="00D239E7"/>
    <w:rsid w:val="00D25C4D"/>
    <w:rsid w:val="00D339D5"/>
    <w:rsid w:val="00D36394"/>
    <w:rsid w:val="00D67D88"/>
    <w:rsid w:val="00D7235E"/>
    <w:rsid w:val="00D82DE2"/>
    <w:rsid w:val="00D911BA"/>
    <w:rsid w:val="00DB43E2"/>
    <w:rsid w:val="00DD1643"/>
    <w:rsid w:val="00DD1ECF"/>
    <w:rsid w:val="00DD2258"/>
    <w:rsid w:val="00DD484A"/>
    <w:rsid w:val="00E02DC8"/>
    <w:rsid w:val="00E061E6"/>
    <w:rsid w:val="00E12BDE"/>
    <w:rsid w:val="00E257B1"/>
    <w:rsid w:val="00E2618D"/>
    <w:rsid w:val="00E3269B"/>
    <w:rsid w:val="00E512AD"/>
    <w:rsid w:val="00E564B5"/>
    <w:rsid w:val="00EA1A1E"/>
    <w:rsid w:val="00EA3F32"/>
    <w:rsid w:val="00ED01C7"/>
    <w:rsid w:val="00EE074A"/>
    <w:rsid w:val="00F12500"/>
    <w:rsid w:val="00F170CA"/>
    <w:rsid w:val="00F5338C"/>
    <w:rsid w:val="00F557F6"/>
    <w:rsid w:val="00F6425C"/>
    <w:rsid w:val="00F64284"/>
    <w:rsid w:val="00F66314"/>
    <w:rsid w:val="00F7437C"/>
    <w:rsid w:val="00F8447D"/>
    <w:rsid w:val="00F85834"/>
    <w:rsid w:val="00F9049B"/>
    <w:rsid w:val="00F96CB9"/>
    <w:rsid w:val="00FB3DE0"/>
    <w:rsid w:val="00FC1180"/>
    <w:rsid w:val="00FD45D1"/>
    <w:rsid w:val="00FE2AB0"/>
    <w:rsid w:val="00FF0924"/>
    <w:rsid w:val="00FF237F"/>
    <w:rsid w:val="00FF51C5"/>
    <w:rsid w:val="00FF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1E2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E2AB0"/>
    <w:pPr>
      <w:ind w:left="720"/>
      <w:contextualSpacing/>
    </w:pPr>
  </w:style>
  <w:style w:type="character" w:styleId="Hyperlink">
    <w:name w:val="Hyperlink"/>
    <w:basedOn w:val="DefaultParagraphFont"/>
    <w:uiPriority w:val="99"/>
    <w:unhideWhenUsed/>
    <w:rsid w:val="00FF237F"/>
    <w:rPr>
      <w:color w:val="0563C1" w:themeColor="hyperlink"/>
      <w:u w:val="single"/>
    </w:rPr>
  </w:style>
  <w:style w:type="character" w:customStyle="1" w:styleId="UnresolvedMention">
    <w:name w:val="Unresolved Mention"/>
    <w:basedOn w:val="DefaultParagraphFont"/>
    <w:uiPriority w:val="99"/>
    <w:semiHidden/>
    <w:unhideWhenUsed/>
    <w:rsid w:val="00FF23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1E2A"/>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E2AB0"/>
    <w:pPr>
      <w:ind w:left="720"/>
      <w:contextualSpacing/>
    </w:pPr>
  </w:style>
  <w:style w:type="character" w:styleId="Hyperlink">
    <w:name w:val="Hyperlink"/>
    <w:basedOn w:val="DefaultParagraphFont"/>
    <w:uiPriority w:val="99"/>
    <w:unhideWhenUsed/>
    <w:rsid w:val="00FF237F"/>
    <w:rPr>
      <w:color w:val="0563C1" w:themeColor="hyperlink"/>
      <w:u w:val="single"/>
    </w:rPr>
  </w:style>
  <w:style w:type="character" w:customStyle="1" w:styleId="UnresolvedMention">
    <w:name w:val="Unresolved Mention"/>
    <w:basedOn w:val="DefaultParagraphFont"/>
    <w:uiPriority w:val="99"/>
    <w:semiHidden/>
    <w:unhideWhenUsed/>
    <w:rsid w:val="00FF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12" ma:contentTypeDescription="Create a new document." ma:contentTypeScope="" ma:versionID="d0b1fe430d313f7cf5524d4ec807a606">
  <xsd:schema xmlns:xsd="http://www.w3.org/2001/XMLSchema" xmlns:xs="http://www.w3.org/2001/XMLSchema" xmlns:p="http://schemas.microsoft.com/office/2006/metadata/properties" xmlns:ns3="51174ec9-e8b0-4f33-8184-32f034dfa9db" xmlns:ns4="6da3a045-128e-4918-ae05-8338e55ea68a" targetNamespace="http://schemas.microsoft.com/office/2006/metadata/properties" ma:root="true" ma:fieldsID="e8a847c7cc5c7fb34a09f32429881043" ns3:_="" ns4:_="">
    <xsd:import namespace="51174ec9-e8b0-4f33-8184-32f034dfa9db"/>
    <xsd:import namespace="6da3a045-128e-4918-ae05-8338e55ea6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74ec9-e8b0-4f33-8184-32f034dfa9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AAA2E4-C73C-4771-A5F7-9DFC19CADF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4CDA91-E561-487E-A861-0772CD8BC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74ec9-e8b0-4f33-8184-32f034dfa9db"/>
    <ds:schemaRef ds:uri="6da3a045-128e-4918-ae05-8338e55e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51C65-7B1C-4BA5-93DE-8DF652A8B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Bradshaw</dc:creator>
  <cp:lastModifiedBy>Natalie</cp:lastModifiedBy>
  <cp:revision>2</cp:revision>
  <dcterms:created xsi:type="dcterms:W3CDTF">2021-09-17T09:12:00Z</dcterms:created>
  <dcterms:modified xsi:type="dcterms:W3CDTF">2021-09-17T09:12:00Z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